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600" w:lineRule="exact"/>
        <w:jc w:val="both"/>
        <w:rPr>
          <w:rFonts w:hint="eastAsia" w:ascii="黑体" w:hAnsi="黑体" w:eastAsia="黑体"/>
          <w:kern w:val="2"/>
          <w:sz w:val="32"/>
          <w:szCs w:val="24"/>
          <w:lang w:val="zh-CN"/>
        </w:rPr>
      </w:pPr>
    </w:p>
    <w:p>
      <w:pPr>
        <w:spacing w:line="580" w:lineRule="exact"/>
        <w:jc w:val="center"/>
        <w:rPr>
          <w:rFonts w:hint="eastAsia" w:ascii="黑体" w:hAnsi="黑体" w:eastAsia="黑体"/>
          <w:kern w:val="2"/>
          <w:sz w:val="44"/>
          <w:szCs w:val="24"/>
          <w:lang w:val="zh-CN"/>
        </w:rPr>
      </w:pPr>
    </w:p>
    <w:p>
      <w:pPr>
        <w:spacing w:line="600" w:lineRule="exact"/>
        <w:jc w:val="both"/>
        <w:rPr>
          <w:rFonts w:hint="eastAsia" w:ascii="黑体" w:hAnsi="黑体" w:eastAsia="黑体"/>
          <w:kern w:val="2"/>
          <w:sz w:val="32"/>
          <w:szCs w:val="24"/>
          <w:lang w:val="zh-CN"/>
        </w:rPr>
      </w:pPr>
    </w:p>
    <w:p>
      <w:pPr>
        <w:spacing w:line="580" w:lineRule="exact"/>
        <w:jc w:val="center"/>
        <w:rPr>
          <w:rFonts w:hint="eastAsia" w:ascii="黑体" w:hAnsi="黑体" w:eastAsia="黑体"/>
          <w:kern w:val="2"/>
          <w:sz w:val="44"/>
          <w:szCs w:val="24"/>
          <w:lang w:val="zh-CN"/>
        </w:rPr>
      </w:pPr>
    </w:p>
    <w:p>
      <w:pPr>
        <w:spacing w:line="580" w:lineRule="exact"/>
        <w:jc w:val="center"/>
        <w:rPr>
          <w:rFonts w:hint="eastAsia" w:ascii="Times New Roman" w:hAnsi="Times New Roman" w:eastAsia="Times New Roman"/>
          <w:kern w:val="2"/>
          <w:sz w:val="44"/>
          <w:szCs w:val="24"/>
          <w:lang w:val="zh-CN"/>
        </w:rPr>
      </w:pPr>
    </w:p>
    <w:p>
      <w:pPr>
        <w:spacing w:line="580" w:lineRule="exact"/>
        <w:jc w:val="center"/>
        <w:rPr>
          <w:rFonts w:hint="eastAsia" w:ascii="Times New Roman" w:hAnsi="Times New Roman" w:eastAsia="Times New Roman"/>
          <w:kern w:val="2"/>
          <w:sz w:val="44"/>
          <w:szCs w:val="24"/>
          <w:lang w:val="zh-CN"/>
        </w:rPr>
      </w:pPr>
    </w:p>
    <w:p>
      <w:pPr>
        <w:spacing w:line="580" w:lineRule="exact"/>
        <w:jc w:val="center"/>
        <w:rPr>
          <w:rFonts w:hint="eastAsia" w:ascii="Times New Roman" w:hAnsi="Times New Roman" w:eastAsia="Times New Roman"/>
          <w:kern w:val="2"/>
          <w:sz w:val="44"/>
          <w:szCs w:val="24"/>
          <w:lang w:val="zh-CN"/>
        </w:rPr>
      </w:pPr>
    </w:p>
    <w:p>
      <w:pPr>
        <w:spacing w:line="580" w:lineRule="exact"/>
        <w:jc w:val="center"/>
        <w:rPr>
          <w:rFonts w:hint="eastAsia" w:ascii="Times New Roman" w:hAnsi="Times New Roman" w:eastAsia="Times New Roman"/>
          <w:kern w:val="2"/>
          <w:sz w:val="44"/>
          <w:szCs w:val="24"/>
          <w:lang w:val="zh-CN"/>
        </w:rPr>
      </w:pPr>
    </w:p>
    <w:p>
      <w:pPr>
        <w:spacing w:line="580" w:lineRule="exact"/>
        <w:jc w:val="center"/>
        <w:rPr>
          <w:rFonts w:hint="eastAsia" w:ascii="Times New Roman" w:hAnsi="Times New Roman" w:eastAsia="Times New Roman"/>
          <w:kern w:val="2"/>
          <w:sz w:val="44"/>
          <w:szCs w:val="24"/>
          <w:lang w:val="zh-CN"/>
        </w:rPr>
      </w:pPr>
    </w:p>
    <w:p>
      <w:pPr>
        <w:spacing w:line="580" w:lineRule="exact"/>
        <w:jc w:val="center"/>
        <w:rPr>
          <w:rFonts w:hint="eastAsia" w:ascii="Times New Roman" w:hAnsi="Times New Roman" w:eastAsia="Times New Roman"/>
          <w:kern w:val="2"/>
          <w:sz w:val="44"/>
          <w:szCs w:val="24"/>
          <w:lang w:val="zh-CN"/>
        </w:rPr>
      </w:pPr>
    </w:p>
    <w:p>
      <w:pPr>
        <w:spacing w:line="580" w:lineRule="exact"/>
        <w:jc w:val="center"/>
        <w:rPr>
          <w:rFonts w:hint="eastAsia" w:ascii="Times New Roman" w:hAnsi="Times New Roman" w:eastAsia="Times New Roman"/>
          <w:kern w:val="2"/>
          <w:sz w:val="44"/>
          <w:szCs w:val="24"/>
          <w:lang w:val="zh-CN"/>
        </w:rPr>
      </w:pPr>
    </w:p>
    <w:p>
      <w:pPr>
        <w:spacing w:line="580" w:lineRule="exact"/>
        <w:jc w:val="center"/>
        <w:rPr>
          <w:rFonts w:hint="eastAsia" w:ascii="Times New Roman" w:hAnsi="Times New Roman" w:eastAsia="Times New Roman"/>
          <w:kern w:val="2"/>
          <w:sz w:val="44"/>
          <w:szCs w:val="24"/>
          <w:lang w:val="zh-CN"/>
        </w:rPr>
      </w:pPr>
    </w:p>
    <w:p>
      <w:pPr>
        <w:spacing w:line="580" w:lineRule="exact"/>
        <w:jc w:val="center"/>
        <w:rPr>
          <w:rFonts w:hint="eastAsia" w:ascii="Times New Roman" w:hAnsi="Times New Roman" w:eastAsia="Times New Roman"/>
          <w:kern w:val="2"/>
          <w:sz w:val="44"/>
          <w:szCs w:val="24"/>
          <w:lang w:val="zh-CN"/>
        </w:rPr>
      </w:pPr>
    </w:p>
    <w:p>
      <w:pPr>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天津经济技术开发区财务中心</w:t>
      </w:r>
    </w:p>
    <w:p>
      <w:pPr>
        <w:jc w:val="center"/>
        <w:rPr>
          <w:rFonts w:hint="eastAsia" w:ascii="方正小标宋简体" w:hAnsi="方正小标宋简体" w:eastAsia="方正小标宋简体"/>
          <w:sz w:val="48"/>
          <w:szCs w:val="24"/>
          <w:lang w:val="zh-CN"/>
        </w:rPr>
      </w:pPr>
      <w:r>
        <w:rPr>
          <w:rFonts w:hint="eastAsia" w:ascii="方正小标宋简体" w:hAnsi="方正小标宋简体" w:eastAsia="方正小标宋简体"/>
          <w:sz w:val="48"/>
          <w:szCs w:val="24"/>
          <w:lang w:val="zh-CN"/>
        </w:rPr>
        <w:t>2022年度部门决算</w:t>
      </w: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580" w:lineRule="exact"/>
        <w:jc w:val="center"/>
        <w:rPr>
          <w:rFonts w:hint="eastAsia" w:ascii="黑体" w:hAnsi="黑体" w:eastAsia="黑体"/>
          <w:kern w:val="2"/>
          <w:sz w:val="30"/>
          <w:szCs w:val="24"/>
          <w:lang w:val="en-US"/>
        </w:rPr>
      </w:pPr>
    </w:p>
    <w:p>
      <w:pPr>
        <w:spacing w:line="600" w:lineRule="exact"/>
        <w:jc w:val="center"/>
        <w:rPr>
          <w:rFonts w:hint="eastAsia" w:ascii="黑体" w:hAnsi="黑体" w:eastAsia="黑体"/>
          <w:sz w:val="44"/>
          <w:szCs w:val="24"/>
          <w:lang w:val="en-US"/>
        </w:rPr>
      </w:pPr>
      <w:r>
        <w:rPr>
          <w:rFonts w:hint="eastAsia" w:ascii="黑体" w:hAnsi="黑体" w:eastAsia="黑体"/>
          <w:kern w:val="2"/>
          <w:sz w:val="30"/>
          <w:szCs w:val="24"/>
          <w:lang w:val="en-US"/>
        </w:rPr>
        <w:br w:type="page"/>
      </w:r>
    </w:p>
    <w:p>
      <w:pPr>
        <w:spacing w:line="600" w:lineRule="exact"/>
        <w:jc w:val="center"/>
        <w:rPr>
          <w:rFonts w:hint="eastAsia" w:ascii="黑体" w:hAnsi="黑体" w:eastAsia="黑体"/>
          <w:sz w:val="44"/>
          <w:szCs w:val="24"/>
          <w:lang w:val="en-US"/>
        </w:rPr>
      </w:pPr>
      <w:r>
        <w:rPr>
          <w:rFonts w:hint="eastAsia" w:ascii="黑体" w:hAnsi="黑体" w:eastAsia="黑体"/>
          <w:sz w:val="44"/>
          <w:szCs w:val="24"/>
          <w:lang w:val="en-US"/>
        </w:rPr>
        <w:t>目   录</w:t>
      </w:r>
    </w:p>
    <w:p>
      <w:pPr>
        <w:spacing w:line="600" w:lineRule="exact"/>
        <w:rPr>
          <w:rFonts w:hint="eastAsia" w:ascii="黑体" w:hAnsi="黑体" w:eastAsia="黑体"/>
          <w:sz w:val="30"/>
          <w:szCs w:val="24"/>
          <w:lang w:val="en-US"/>
        </w:rPr>
      </w:pPr>
    </w:p>
    <w:p>
      <w:pPr>
        <w:tabs>
          <w:tab w:val="right" w:leader="dot" w:pos="8306"/>
        </w:tabs>
        <w:spacing w:line="700" w:lineRule="exact"/>
        <w:rPr>
          <w:rFonts w:hint="eastAsia" w:ascii="Times New Roman" w:hAnsi="Times New Roman" w:eastAsia="Times New Roman"/>
          <w:sz w:val="30"/>
          <w:szCs w:val="24"/>
        </w:rPr>
      </w:pPr>
      <w:r>
        <w:rPr>
          <w:rFonts w:hint="eastAsia" w:ascii="方正小标宋简体" w:hAnsi="方正小标宋简体" w:eastAsia="方正小标宋简体"/>
          <w:sz w:val="30"/>
          <w:szCs w:val="24"/>
        </w:rPr>
        <w:t>第一部分  概 况</w:t>
      </w:r>
      <w:r>
        <w:rPr>
          <w:rFonts w:hint="eastAsia" w:ascii="Times New Roman" w:hAnsi="Times New Roman" w:eastAsia="Times New Roman"/>
          <w:sz w:val="30"/>
          <w:szCs w:val="24"/>
        </w:rPr>
        <w:tab/>
      </w:r>
      <w:r>
        <w:rPr>
          <w:rFonts w:hint="eastAsia" w:ascii="Times New Roman" w:hAnsi="Times New Roman" w:eastAsia="Times New Roman"/>
          <w:sz w:val="30"/>
          <w:szCs w:val="24"/>
        </w:rPr>
        <w:t>1</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一、主要职责</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1</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二、机构设置</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1</w:t>
      </w:r>
    </w:p>
    <w:p>
      <w:pPr>
        <w:tabs>
          <w:tab w:val="right" w:leader="dot" w:pos="8306"/>
        </w:tabs>
        <w:spacing w:line="700" w:lineRule="exact"/>
        <w:rPr>
          <w:rFonts w:hint="eastAsia" w:ascii="Times New Roman" w:hAnsi="Times New Roman" w:eastAsia="Times New Roman"/>
          <w:sz w:val="30"/>
          <w:szCs w:val="24"/>
        </w:rPr>
      </w:pPr>
      <w:r>
        <w:rPr>
          <w:rFonts w:hint="eastAsia" w:ascii="方正小标宋简体" w:hAnsi="方正小标宋简体" w:eastAsia="方正小标宋简体"/>
          <w:sz w:val="30"/>
          <w:szCs w:val="24"/>
        </w:rPr>
        <w:t>第二部分  2022年度部门决算表</w:t>
      </w:r>
      <w:r>
        <w:rPr>
          <w:rFonts w:hint="eastAsia" w:ascii="Times New Roman" w:hAnsi="Times New Roman" w:eastAsia="Times New Roman"/>
          <w:sz w:val="30"/>
          <w:szCs w:val="24"/>
        </w:rPr>
        <w:tab/>
      </w:r>
      <w:r>
        <w:rPr>
          <w:rFonts w:hint="eastAsia" w:ascii="Times New Roman" w:hAnsi="Times New Roman" w:eastAsia="Times New Roman"/>
          <w:sz w:val="30"/>
          <w:szCs w:val="24"/>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一、收入支出决算总表</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二、收入决算表（按功能分类列示）</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三、收入决算表（按单位列示）</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四、支出决算表</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五、财政拨款收入支出决算总表</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六、一般公共预算财政拨款支出决算表</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七、一般公共预算财政拨款基本支出决算表</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八、政府性基金预算财政拨款收入支出决算表</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九、国有资本经营预算财政拨款收入支出决算表</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十、一般公共预算财政拨款“三公”经费支出决算表</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十一、项目支出决算表</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2</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十二、关于空表的说明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3</w:t>
      </w:r>
    </w:p>
    <w:p>
      <w:pPr>
        <w:tabs>
          <w:tab w:val="right" w:leader="dot" w:pos="8306"/>
        </w:tabs>
        <w:spacing w:line="700" w:lineRule="exact"/>
        <w:rPr>
          <w:rFonts w:hint="eastAsia" w:ascii="Times New Roman" w:hAnsi="Times New Roman" w:eastAsia="Times New Roman"/>
          <w:sz w:val="30"/>
          <w:szCs w:val="24"/>
        </w:rPr>
      </w:pPr>
      <w:r>
        <w:rPr>
          <w:rFonts w:hint="eastAsia" w:ascii="方正小标宋简体" w:hAnsi="方正小标宋简体" w:eastAsia="方正小标宋简体"/>
          <w:sz w:val="30"/>
          <w:szCs w:val="24"/>
        </w:rPr>
        <w:t>第三部分  2022年度部门决算情况说明</w:t>
      </w:r>
      <w:r>
        <w:rPr>
          <w:rFonts w:hint="eastAsia" w:ascii="Times New Roman" w:hAnsi="Times New Roman" w:eastAsia="Times New Roman"/>
          <w:sz w:val="30"/>
          <w:szCs w:val="24"/>
        </w:rPr>
        <w:tab/>
      </w:r>
      <w:r>
        <w:rPr>
          <w:rFonts w:hint="eastAsia" w:ascii="Times New Roman" w:hAnsi="Times New Roman" w:eastAsia="Times New Roman"/>
          <w:sz w:val="30"/>
          <w:szCs w:val="24"/>
        </w:rPr>
        <w:t>4</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一、收支决算总体情况说明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4</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二、收入决算情况说明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4</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三、支出决算情况说明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4</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四、财政拨款收支决算总体情况说明</w:t>
      </w:r>
      <w:r>
        <w:rPr>
          <w:rFonts w:hint="eastAsia" w:ascii="Times New Roman" w:hAnsi="Times New Roman" w:eastAsia="Times New Roman"/>
          <w:sz w:val="30"/>
          <w:szCs w:val="24"/>
          <w:lang w:val="en-US"/>
        </w:rPr>
        <w:tab/>
      </w:r>
      <w:r>
        <w:rPr>
          <w:rFonts w:hint="eastAsia"/>
          <w:sz w:val="30"/>
          <w:szCs w:val="24"/>
          <w:lang w:val="en-US" w:eastAsia="zh-CN"/>
        </w:rPr>
        <w:t>4</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五、一般公共预算财政拨款支出决算情况说明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eastAsia="zh-CN"/>
        </w:rPr>
        <w:t>5</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六、一般公共预算财政拨款基本支出决算情况说明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6</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七、政府性基金预算财政拨款收支决算情况说明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eastAsia="zh-CN"/>
        </w:rPr>
        <w:t>6</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八、国有资本经营预算财政拨款收支决算情况说明</w:t>
      </w:r>
      <w:r>
        <w:rPr>
          <w:rFonts w:hint="eastAsia" w:ascii="Times New Roman" w:hAnsi="Times New Roman" w:eastAsia="Times New Roman"/>
          <w:sz w:val="30"/>
          <w:szCs w:val="24"/>
          <w:lang w:val="en-US"/>
        </w:rPr>
        <w:tab/>
      </w:r>
      <w:r>
        <w:rPr>
          <w:rFonts w:hint="eastAsia"/>
          <w:sz w:val="30"/>
          <w:szCs w:val="24"/>
          <w:lang w:val="en-US" w:eastAsia="zh-CN"/>
        </w:rPr>
        <w:t>6</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九、一般公共预算财政拨款“三公”经费支出决算情况说明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eastAsia="zh-CN"/>
        </w:rPr>
        <w:t>6</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十、机关运行经费支出情况说明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8</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十一、政府采购支出情况说明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8</w:t>
      </w:r>
    </w:p>
    <w:p>
      <w:pPr>
        <w:tabs>
          <w:tab w:val="right" w:leader="dot" w:pos="8306"/>
        </w:tabs>
        <w:spacing w:line="700" w:lineRule="exact"/>
        <w:ind w:left="220"/>
        <w:rPr>
          <w:rFonts w:hint="eastAsia" w:ascii="Times New Roman" w:hAnsi="Times New Roman" w:eastAsia="Times New Roman"/>
          <w:sz w:val="30"/>
          <w:szCs w:val="24"/>
          <w:lang w:val="en-US"/>
        </w:rPr>
      </w:pPr>
      <w:r>
        <w:rPr>
          <w:rFonts w:hint="eastAsia" w:ascii="仿宋_GB2312" w:hAnsi="仿宋_GB2312" w:eastAsia="仿宋_GB2312"/>
          <w:sz w:val="30"/>
          <w:szCs w:val="24"/>
          <w:lang w:val="en-US"/>
        </w:rPr>
        <w:t>十二、国有资产占有使用情况说明</w:t>
      </w:r>
      <w:r>
        <w:rPr>
          <w:rFonts w:hint="eastAsia" w:ascii="Times New Roman" w:hAnsi="Times New Roman" w:eastAsia="Times New Roman"/>
          <w:sz w:val="30"/>
          <w:szCs w:val="24"/>
          <w:lang w:val="en-US"/>
        </w:rPr>
        <w:tab/>
      </w:r>
      <w:r>
        <w:rPr>
          <w:rFonts w:hint="eastAsia" w:ascii="Times New Roman" w:hAnsi="Times New Roman" w:eastAsia="Times New Roman"/>
          <w:sz w:val="30"/>
          <w:szCs w:val="24"/>
          <w:lang w:val="en-US"/>
        </w:rPr>
        <w:t>8</w:t>
      </w:r>
    </w:p>
    <w:p>
      <w:pPr>
        <w:tabs>
          <w:tab w:val="right" w:leader="dot" w:pos="8306"/>
        </w:tabs>
        <w:spacing w:line="700" w:lineRule="exact"/>
        <w:ind w:left="220"/>
        <w:rPr>
          <w:rFonts w:hint="eastAsia" w:ascii="Times New Roman" w:hAnsi="Times New Roman" w:eastAsia="宋体"/>
          <w:sz w:val="30"/>
          <w:szCs w:val="24"/>
          <w:lang w:val="en-US" w:eastAsia="zh-CN"/>
        </w:rPr>
      </w:pPr>
      <w:r>
        <w:rPr>
          <w:rFonts w:hint="eastAsia" w:ascii="仿宋_GB2312" w:hAnsi="仿宋_GB2312" w:eastAsia="仿宋_GB2312"/>
          <w:sz w:val="30"/>
          <w:szCs w:val="24"/>
          <w:lang w:val="en-US"/>
        </w:rPr>
        <w:t>十三、预算绩效情况说明</w:t>
      </w:r>
      <w:r>
        <w:rPr>
          <w:rFonts w:hint="eastAsia" w:ascii="Times New Roman" w:hAnsi="Times New Roman" w:eastAsia="Times New Roman"/>
          <w:sz w:val="30"/>
          <w:szCs w:val="24"/>
          <w:lang w:val="en-US"/>
        </w:rPr>
        <w:tab/>
      </w:r>
      <w:r>
        <w:rPr>
          <w:rFonts w:hint="eastAsia"/>
          <w:sz w:val="30"/>
          <w:szCs w:val="24"/>
          <w:lang w:val="en-US" w:eastAsia="zh-CN"/>
        </w:rPr>
        <w:t>8</w:t>
      </w:r>
    </w:p>
    <w:p>
      <w:pPr>
        <w:tabs>
          <w:tab w:val="right" w:leader="dot" w:pos="8306"/>
        </w:tabs>
        <w:spacing w:line="700" w:lineRule="exact"/>
        <w:ind w:left="220"/>
        <w:rPr>
          <w:rFonts w:hint="eastAsia" w:ascii="Times New Roman" w:hAnsi="Times New Roman" w:eastAsia="宋体"/>
          <w:sz w:val="30"/>
          <w:szCs w:val="24"/>
          <w:lang w:val="en" w:eastAsia="zh-CN"/>
        </w:rPr>
      </w:pPr>
      <w:r>
        <w:rPr>
          <w:rFonts w:hint="eastAsia" w:ascii="仿宋_GB2312" w:hAnsi="仿宋_GB2312" w:eastAsia="仿宋_GB2312"/>
          <w:sz w:val="30"/>
          <w:szCs w:val="24"/>
          <w:lang w:val="en-US"/>
        </w:rPr>
        <w:t>十四、教育、医疗卫生、社会保障和就业、住房保障、涉农补贴等民生支出情况说明</w:t>
      </w:r>
      <w:r>
        <w:rPr>
          <w:rFonts w:hint="eastAsia" w:ascii="Times New Roman" w:hAnsi="Times New Roman" w:eastAsia="Times New Roman"/>
          <w:sz w:val="30"/>
          <w:szCs w:val="24"/>
          <w:lang w:val="en-US"/>
        </w:rPr>
        <w:tab/>
      </w:r>
      <w:r>
        <w:rPr>
          <w:rFonts w:hint="eastAsia"/>
          <w:sz w:val="30"/>
          <w:szCs w:val="24"/>
          <w:lang w:val="en-US" w:eastAsia="zh-CN"/>
        </w:rPr>
        <w:t>9</w:t>
      </w:r>
    </w:p>
    <w:p>
      <w:pPr>
        <w:tabs>
          <w:tab w:val="right" w:leader="dot" w:pos="8306"/>
        </w:tabs>
        <w:spacing w:line="700" w:lineRule="exact"/>
        <w:rPr>
          <w:rFonts w:hint="eastAsia" w:ascii="Times New Roman" w:hAnsi="Times New Roman" w:eastAsia="宋体"/>
          <w:sz w:val="30"/>
          <w:szCs w:val="24"/>
          <w:lang w:val="en-US" w:eastAsia="zh-CN"/>
        </w:rPr>
      </w:pPr>
      <w:r>
        <w:rPr>
          <w:rFonts w:hint="eastAsia" w:ascii="方正小标宋简体" w:hAnsi="方正小标宋简体" w:eastAsia="方正小标宋简体"/>
          <w:sz w:val="30"/>
          <w:szCs w:val="24"/>
        </w:rPr>
        <w:t>第四部分  名词解释</w:t>
      </w:r>
      <w:r>
        <w:rPr>
          <w:rFonts w:hint="eastAsia" w:ascii="Times New Roman" w:hAnsi="Times New Roman" w:eastAsia="Times New Roman"/>
          <w:sz w:val="30"/>
          <w:szCs w:val="24"/>
        </w:rPr>
        <w:tab/>
      </w:r>
      <w:r>
        <w:rPr>
          <w:rFonts w:hint="eastAsia" w:ascii="Times New Roman" w:hAnsi="Times New Roman" w:eastAsia="Times New Roman"/>
          <w:sz w:val="30"/>
          <w:szCs w:val="24"/>
        </w:rPr>
        <w:t>1</w:t>
      </w:r>
      <w:r>
        <w:rPr>
          <w:rFonts w:hint="eastAsia"/>
          <w:sz w:val="30"/>
          <w:szCs w:val="24"/>
          <w:lang w:val="en-US" w:eastAsia="zh-CN"/>
        </w:rPr>
        <w:t>0</w:t>
      </w:r>
    </w:p>
    <w:p>
      <w:pPr>
        <w:pStyle w:val="2"/>
        <w:keepNext/>
        <w:keepLines/>
        <w:spacing w:line="600" w:lineRule="exact"/>
        <w:jc w:val="center"/>
        <w:rPr>
          <w:rFonts w:hint="eastAsia" w:ascii="方正小标宋简体" w:hAnsi="方正小标宋简体" w:eastAsia="方正小标宋简体"/>
          <w:kern w:val="44"/>
          <w:sz w:val="44"/>
          <w:szCs w:val="24"/>
          <w:lang w:val="en-US"/>
        </w:rPr>
        <w:sectPr>
          <w:pgSz w:w="12240" w:h="15840"/>
          <w:pgMar w:top="1440" w:right="1800" w:bottom="1440" w:left="1800" w:header="720" w:footer="720" w:gutter="0"/>
          <w:lnNumType w:countBy="0" w:distance="360"/>
          <w:cols w:space="720" w:num="1"/>
        </w:sectPr>
      </w:pPr>
    </w:p>
    <w:p>
      <w:pPr>
        <w:pStyle w:val="2"/>
        <w:keepNext/>
        <w:keepLines/>
        <w:spacing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第一部分  概 况</w:t>
      </w:r>
    </w:p>
    <w:p>
      <w:pPr>
        <w:pStyle w:val="2"/>
        <w:keepNext/>
        <w:keepLines/>
        <w:spacing w:line="600" w:lineRule="exact"/>
        <w:jc w:val="center"/>
        <w:rPr>
          <w:rFonts w:hint="eastAsia" w:ascii="方正小标宋简体" w:hAnsi="方正小标宋简体" w:eastAsia="方正小标宋简体"/>
          <w:kern w:val="44"/>
          <w:sz w:val="44"/>
          <w:szCs w:val="24"/>
          <w:lang w:val="en-US"/>
        </w:rPr>
      </w:pPr>
    </w:p>
    <w:p>
      <w:pPr>
        <w:pStyle w:val="3"/>
        <w:keepNext/>
        <w:keepLines/>
        <w:spacing w:line="600" w:lineRule="exact"/>
        <w:ind w:firstLine="600"/>
        <w:rPr>
          <w:rFonts w:hint="eastAsia" w:ascii="黑体" w:hAnsi="黑体" w:eastAsia="黑体" w:cs="Times New Roman"/>
          <w:sz w:val="30"/>
          <w:szCs w:val="24"/>
          <w:lang w:val="en-US"/>
        </w:rPr>
      </w:pPr>
      <w:bookmarkStart w:id="0" w:name="_Toc78784555"/>
      <w:bookmarkStart w:id="1" w:name="_Toc23858"/>
      <w:r>
        <w:rPr>
          <w:rFonts w:hint="eastAsia" w:ascii="黑体" w:hAnsi="黑体" w:eastAsia="黑体" w:cs="Times New Roman"/>
          <w:sz w:val="30"/>
          <w:szCs w:val="24"/>
          <w:lang w:val="en-US"/>
        </w:rPr>
        <w:t>一、主要职责</w:t>
      </w:r>
      <w:bookmarkEnd w:id="0"/>
      <w:bookmarkEnd w:id="1"/>
    </w:p>
    <w:p>
      <w:pPr>
        <w:spacing w:line="600" w:lineRule="exact"/>
        <w:ind w:firstLine="600"/>
        <w:rPr>
          <w:rFonts w:hint="eastAsia" w:ascii="仿宋_GB2312" w:hAnsi="仿宋_GB2312" w:eastAsia="仿宋_GB2312" w:cs="Times New Roman"/>
          <w:sz w:val="30"/>
          <w:szCs w:val="24"/>
          <w:lang w:val="en-US"/>
        </w:rPr>
      </w:pPr>
      <w:bookmarkStart w:id="2" w:name="_Toc78784556"/>
      <w:bookmarkStart w:id="3" w:name="_Toc7309"/>
      <w:r>
        <w:rPr>
          <w:rFonts w:hint="eastAsia" w:ascii="仿宋_GB2312" w:hAnsi="仿宋_GB2312" w:eastAsia="仿宋_GB2312" w:cs="Times New Roman"/>
          <w:sz w:val="30"/>
          <w:szCs w:val="24"/>
          <w:lang w:val="en-US" w:eastAsia="zh-CN"/>
        </w:rPr>
        <w:t>财务中心</w:t>
      </w:r>
      <w:r>
        <w:rPr>
          <w:rFonts w:hint="eastAsia" w:ascii="仿宋_GB2312" w:hAnsi="仿宋_GB2312" w:eastAsia="仿宋_GB2312" w:cs="Times New Roman"/>
          <w:sz w:val="30"/>
          <w:szCs w:val="24"/>
          <w:lang w:val="en-US"/>
        </w:rPr>
        <w:t>主要职责是：</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rPr>
        <w:t>（一）妥善管理各核算部门银行账户，按照财政部预算管理一体化要求分户设</w:t>
      </w:r>
      <w:r>
        <w:rPr>
          <w:rFonts w:hint="eastAsia" w:ascii="仿宋_GB2312" w:hAnsi="仿宋_GB2312" w:eastAsia="仿宋_GB2312" w:cs="Times New Roman"/>
          <w:sz w:val="30"/>
          <w:szCs w:val="24"/>
          <w:lang w:val="en-US" w:eastAsia="zh-CN"/>
        </w:rPr>
        <w:t>置会计账簿，办理资金结算，定期核对账户余额，做好支付资金的稽核工作。</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（二）审核各核算部门的原始凭证、编制记账凭证，登记相关会计账簿。</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（三）根据政府会计制度，按月出具相关财务报表，协助各核算部门分析财务收支情况。</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（四）按照组织人事部门核定结果，配合完成管委会内设部门及专业工作机构授薪内职工薪资发放业务。</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（五）按照《会计档案管理办法》要求，代各核算部门保管会计档案。</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（六）承办党委、管委会及上级部门交办的其他事项。</w:t>
      </w:r>
    </w:p>
    <w:p>
      <w:pPr>
        <w:pStyle w:val="3"/>
        <w:keepNext/>
        <w:keepLines/>
        <w:spacing w:line="600" w:lineRule="exact"/>
        <w:ind w:firstLine="600"/>
        <w:rPr>
          <w:rFonts w:hint="eastAsia" w:ascii="黑体" w:hAnsi="黑体" w:eastAsia="黑体" w:cs="Times New Roman"/>
          <w:sz w:val="30"/>
          <w:szCs w:val="24"/>
          <w:lang w:val="en-US"/>
        </w:rPr>
      </w:pPr>
      <w:r>
        <w:rPr>
          <w:rFonts w:hint="eastAsia" w:ascii="黑体" w:hAnsi="黑体" w:eastAsia="黑体" w:cs="Times New Roman"/>
          <w:sz w:val="30"/>
          <w:szCs w:val="24"/>
          <w:lang w:val="en-US"/>
        </w:rPr>
        <w:t>二、机构设置</w:t>
      </w:r>
      <w:bookmarkEnd w:id="2"/>
      <w:r>
        <w:rPr>
          <w:rFonts w:hint="eastAsia" w:ascii="黑体" w:hAnsi="黑体" w:eastAsia="黑体" w:cs="Times New Roman"/>
          <w:sz w:val="30"/>
          <w:szCs w:val="24"/>
          <w:lang w:val="en-US"/>
        </w:rPr>
        <w:t>情况</w:t>
      </w:r>
      <w:bookmarkEnd w:id="3"/>
    </w:p>
    <w:p>
      <w:pPr>
        <w:spacing w:line="600" w:lineRule="exact"/>
        <w:ind w:firstLine="600"/>
        <w:rPr>
          <w:rFonts w:hint="eastAsia" w:ascii="黑体" w:hAnsi="黑体" w:eastAsia="黑体"/>
          <w:kern w:val="2"/>
          <w:sz w:val="30"/>
          <w:szCs w:val="24"/>
          <w:lang w:val="zh-CN"/>
        </w:rPr>
      </w:pPr>
      <w:r>
        <w:rPr>
          <w:rFonts w:hint="eastAsia" w:ascii="仿宋_GB2312" w:hAnsi="仿宋_GB2312" w:eastAsia="仿宋_GB2312" w:cs="Times New Roman"/>
          <w:sz w:val="30"/>
          <w:szCs w:val="24"/>
          <w:lang w:val="en-US" w:eastAsia="zh-CN"/>
        </w:rPr>
        <w:t xml:space="preserve">财务中心内设 4 </w:t>
      </w:r>
      <w:r>
        <w:rPr>
          <w:rFonts w:hint="eastAsia" w:ascii="仿宋_GB2312" w:hAnsi="仿宋_GB2312" w:eastAsia="仿宋_GB2312" w:cs="Times New Roman"/>
          <w:sz w:val="30"/>
          <w:szCs w:val="24"/>
          <w:lang w:val="en-US" w:eastAsia="zh-CN"/>
        </w:rPr>
        <w:t xml:space="preserve">个职能科室，下辖 0 </w:t>
      </w:r>
      <w:r>
        <w:rPr>
          <w:rFonts w:hint="eastAsia" w:ascii="仿宋_GB2312" w:hAnsi="仿宋_GB2312" w:eastAsia="仿宋_GB2312" w:cs="Times New Roman"/>
          <w:sz w:val="30"/>
          <w:szCs w:val="24"/>
          <w:lang w:val="en-US" w:eastAsia="zh-CN"/>
        </w:rPr>
        <w:t>个预算单位。纳入</w:t>
      </w:r>
      <w:r>
        <w:rPr>
          <w:rFonts w:hint="eastAsia" w:ascii="仿宋_GB2312" w:hAnsi="仿宋_GB2312" w:eastAsia="仿宋_GB2312" w:cs="仿宋_GB2312"/>
          <w:kern w:val="2"/>
          <w:sz w:val="30"/>
          <w:szCs w:val="24"/>
          <w:lang w:val="zh-CN"/>
        </w:rPr>
        <w:t>天津经济技术开发区财务中心</w:t>
      </w:r>
      <w:r>
        <w:rPr>
          <w:rFonts w:hint="eastAsia" w:ascii="仿宋_GB2312" w:hAnsi="仿宋_GB2312" w:eastAsia="仿宋_GB2312" w:cs="Times New Roman"/>
          <w:sz w:val="30"/>
          <w:szCs w:val="24"/>
          <w:lang w:val="en-US" w:eastAsia="zh-CN"/>
        </w:rPr>
        <w:t>2022年度部门决算编制范围的单位包括：</w:t>
      </w:r>
      <w:r>
        <w:rPr>
          <w:rFonts w:hint="eastAsia" w:ascii="仿宋_GB2312" w:hAnsi="仿宋_GB2312" w:eastAsia="仿宋_GB2312" w:cs="仿宋_GB2312"/>
          <w:sz w:val="30"/>
          <w:szCs w:val="24"/>
          <w:lang w:val="en-US"/>
        </w:rPr>
        <w:t>天津经济技术开发区财务中心部门本级</w:t>
      </w:r>
      <w:r>
        <w:rPr>
          <w:rFonts w:hint="eastAsia" w:ascii="仿宋_GB2312" w:hAnsi="仿宋_GB2312" w:eastAsia="仿宋_GB2312" w:cs="仿宋_GB2312"/>
          <w:sz w:val="30"/>
          <w:szCs w:val="24"/>
          <w:lang w:val="en-US" w:eastAsia="zh-CN"/>
        </w:rPr>
        <w:t>。</w:t>
      </w:r>
    </w:p>
    <w:p>
      <w:pPr>
        <w:spacing w:line="360" w:lineRule="atLeast"/>
        <w:jc w:val="center"/>
        <w:rPr>
          <w:rFonts w:hint="eastAsia" w:ascii="黑体" w:hAnsi="黑体" w:eastAsia="黑体"/>
          <w:kern w:val="2"/>
          <w:sz w:val="30"/>
          <w:szCs w:val="24"/>
          <w:lang w:val="zh-CN"/>
        </w:rPr>
      </w:pPr>
    </w:p>
    <w:p>
      <w:pPr>
        <w:pStyle w:val="2"/>
        <w:keepNext/>
        <w:keepLines/>
        <w:spacing w:line="600" w:lineRule="exact"/>
        <w:jc w:val="center"/>
        <w:rPr>
          <w:rFonts w:hint="eastAsia" w:ascii="方正小标宋简体" w:hAnsi="方正小标宋简体" w:eastAsia="方正小标宋简体"/>
          <w:kern w:val="44"/>
          <w:sz w:val="44"/>
          <w:szCs w:val="24"/>
          <w:lang w:val="en-US"/>
        </w:rPr>
      </w:pPr>
      <w:r>
        <w:rPr>
          <w:rFonts w:hint="eastAsia" w:ascii="方正小标宋简体" w:hAnsi="方正小标宋简体" w:eastAsia="方正小标宋简体"/>
          <w:kern w:val="44"/>
          <w:sz w:val="44"/>
          <w:szCs w:val="24"/>
          <w:lang w:val="en-US"/>
        </w:rPr>
        <w:t>第二部分  2022年度部门决算表</w:t>
      </w:r>
    </w:p>
    <w:p>
      <w:pPr>
        <w:spacing w:line="600" w:lineRule="exact"/>
        <w:rPr>
          <w:rFonts w:hint="eastAsia" w:ascii="Times New Roman" w:hAnsi="Times New Roman" w:eastAsia="Times New Roman"/>
          <w:sz w:val="24"/>
          <w:szCs w:val="24"/>
          <w:lang w:val="en-US"/>
        </w:rPr>
      </w:pP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一、《收入支出决算总表》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二、《收入决算表（按功能分类列示）》</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三、《收入决算表（按单位列示）》</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四、《支出决算表》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五、《财政拨款收入支出决算总表》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六、《一般公共预算财政拨款支出决算表》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七、《一般公共预算财政拨款基本支出决算表》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八、《政府性基金预算财政拨款收入支出决算表》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九、《国有资本经营预算财政拨款收入支出决算表》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十、《一般公共预算财政拨款“三公”经费支出决算表》</w:t>
      </w:r>
    </w:p>
    <w:p>
      <w:pPr>
        <w:pStyle w:val="3"/>
        <w:keepNext/>
        <w:keepLines/>
        <w:spacing w:line="800" w:lineRule="exact"/>
        <w:ind w:firstLine="600"/>
        <w:rPr>
          <w:rFonts w:hint="eastAsia" w:ascii="黑体" w:hAnsi="黑体" w:eastAsia="黑体"/>
          <w:sz w:val="30"/>
          <w:szCs w:val="24"/>
          <w:lang w:val="en-US"/>
        </w:rPr>
      </w:pPr>
      <w:r>
        <w:rPr>
          <w:rFonts w:hint="eastAsia" w:ascii="黑体" w:hAnsi="黑体" w:eastAsia="黑体"/>
          <w:sz w:val="30"/>
          <w:szCs w:val="24"/>
          <w:lang w:val="en-US"/>
        </w:rPr>
        <w:t>十一、《项目支出决算表》</w:t>
      </w:r>
    </w:p>
    <w:p>
      <w:pPr>
        <w:spacing w:line="800" w:lineRule="exact"/>
        <w:rPr>
          <w:rFonts w:hint="eastAsia" w:ascii="楷体" w:hAnsi="楷体" w:eastAsia="楷体"/>
          <w:sz w:val="30"/>
          <w:szCs w:val="24"/>
          <w:lang w:val="en-US"/>
        </w:rPr>
      </w:pPr>
      <w:r>
        <w:rPr>
          <w:rFonts w:hint="eastAsia" w:ascii="楷体" w:hAnsi="楷体" w:eastAsia="楷体"/>
          <w:sz w:val="30"/>
          <w:szCs w:val="24"/>
          <w:lang w:val="en-US"/>
        </w:rPr>
        <w:t>注：以上决算公开表均作为附表，附于决算公开说明文档后。</w:t>
      </w:r>
    </w:p>
    <w:p>
      <w:pPr>
        <w:spacing w:line="600" w:lineRule="exact"/>
        <w:rPr>
          <w:rFonts w:hint="eastAsia" w:ascii="黑体" w:hAnsi="黑体" w:eastAsia="黑体"/>
          <w:b/>
          <w:sz w:val="30"/>
          <w:szCs w:val="24"/>
          <w:lang w:val="en-US"/>
        </w:rPr>
      </w:pPr>
      <w:r>
        <w:rPr>
          <w:rFonts w:hint="eastAsia" w:ascii="Times New Roman" w:hAnsi="Times New Roman" w:eastAsia="Times New Roman"/>
          <w:sz w:val="24"/>
          <w:szCs w:val="24"/>
          <w:lang w:val="en-US"/>
        </w:rPr>
        <w:br w:type="page"/>
      </w:r>
      <w:r>
        <w:rPr>
          <w:rFonts w:hint="eastAsia" w:ascii="Times New Roman" w:hAnsi="Times New Roman" w:eastAsia="Times New Roman"/>
          <w:sz w:val="24"/>
          <w:szCs w:val="24"/>
          <w:lang w:val="en-US"/>
        </w:rPr>
        <w:t xml:space="preserve">    </w:t>
      </w:r>
      <w:r>
        <w:rPr>
          <w:rFonts w:hint="eastAsia" w:ascii="黑体" w:hAnsi="黑体" w:eastAsia="黑体"/>
          <w:b/>
          <w:sz w:val="30"/>
          <w:szCs w:val="24"/>
          <w:lang w:val="en-US"/>
        </w:rPr>
        <w:t>十二、关于空表的说明</w:t>
      </w:r>
    </w:p>
    <w:p>
      <w:pPr>
        <w:spacing w:line="640" w:lineRule="exact"/>
        <w:ind w:firstLine="600"/>
        <w:rPr>
          <w:rFonts w:hint="eastAsia" w:ascii="楷体" w:hAnsi="楷体" w:eastAsia="楷体" w:cs="Times New Roman"/>
          <w:sz w:val="30"/>
          <w:szCs w:val="24"/>
          <w:lang w:val="en-US"/>
        </w:rPr>
      </w:pPr>
      <w:r>
        <w:rPr>
          <w:rFonts w:hint="eastAsia" w:ascii="楷体" w:hAnsi="楷体" w:eastAsia="楷体" w:cs="Times New Roman"/>
          <w:sz w:val="30"/>
          <w:szCs w:val="24"/>
          <w:lang w:val="en-US" w:eastAsia="zh-CN"/>
        </w:rPr>
        <w:t>1.</w:t>
      </w:r>
      <w:r>
        <w:rPr>
          <w:rFonts w:hint="eastAsia" w:ascii="楷体" w:hAnsi="楷体" w:eastAsia="楷体" w:cs="Times New Roman"/>
          <w:sz w:val="30"/>
          <w:szCs w:val="24"/>
          <w:lang w:val="en-US"/>
        </w:rPr>
        <w:t>天津</w:t>
      </w:r>
      <w:r>
        <w:rPr>
          <w:rFonts w:hint="eastAsia" w:ascii="楷体" w:hAnsi="楷体" w:eastAsia="楷体" w:cs="Times New Roman"/>
          <w:sz w:val="30"/>
          <w:szCs w:val="24"/>
          <w:lang w:val="en-US" w:eastAsia="zh-CN"/>
        </w:rPr>
        <w:t>经济技术开发区财务中心</w:t>
      </w:r>
      <w:r>
        <w:rPr>
          <w:rFonts w:hint="eastAsia" w:ascii="楷体" w:hAnsi="楷体" w:eastAsia="楷体" w:cs="Times New Roman"/>
          <w:sz w:val="30"/>
          <w:szCs w:val="24"/>
          <w:lang w:val="en-US"/>
        </w:rPr>
        <w:t>2022年度政府性基金预算财政拨款收入支出决算表为空表。</w:t>
      </w:r>
    </w:p>
    <w:p>
      <w:pPr>
        <w:spacing w:line="640" w:lineRule="exact"/>
        <w:ind w:firstLine="600"/>
        <w:rPr>
          <w:rFonts w:hint="eastAsia" w:ascii="楷体" w:hAnsi="楷体" w:eastAsia="楷体" w:cs="Times New Roman"/>
          <w:sz w:val="30"/>
          <w:szCs w:val="24"/>
          <w:lang w:val="en-US"/>
        </w:rPr>
      </w:pPr>
      <w:r>
        <w:rPr>
          <w:rFonts w:hint="eastAsia" w:ascii="楷体" w:hAnsi="楷体" w:eastAsia="楷体" w:cs="Times New Roman"/>
          <w:sz w:val="30"/>
          <w:szCs w:val="24"/>
          <w:lang w:val="en-US" w:eastAsia="zh-CN"/>
        </w:rPr>
        <w:t>2.</w:t>
      </w:r>
      <w:r>
        <w:rPr>
          <w:rFonts w:hint="eastAsia" w:ascii="楷体" w:hAnsi="楷体" w:eastAsia="楷体" w:cs="Times New Roman"/>
          <w:sz w:val="30"/>
          <w:szCs w:val="24"/>
          <w:lang w:val="en-US"/>
        </w:rPr>
        <w:t>天津</w:t>
      </w:r>
      <w:r>
        <w:rPr>
          <w:rFonts w:hint="eastAsia" w:ascii="楷体" w:hAnsi="楷体" w:eastAsia="楷体" w:cs="Times New Roman"/>
          <w:sz w:val="30"/>
          <w:szCs w:val="24"/>
          <w:lang w:val="en-US" w:eastAsia="zh-CN"/>
        </w:rPr>
        <w:t>经济技术开发区财务中心</w:t>
      </w:r>
      <w:r>
        <w:rPr>
          <w:rFonts w:hint="eastAsia" w:ascii="楷体" w:hAnsi="楷体" w:eastAsia="楷体" w:cs="Times New Roman"/>
          <w:sz w:val="30"/>
          <w:szCs w:val="24"/>
          <w:lang w:val="en-US"/>
        </w:rPr>
        <w:t>2022年度国有资本经营预算财政拨款收入支出决算表为空表。</w:t>
      </w:r>
    </w:p>
    <w:p>
      <w:pPr>
        <w:spacing w:line="640" w:lineRule="exact"/>
        <w:ind w:firstLine="600"/>
        <w:rPr>
          <w:rFonts w:hint="eastAsia" w:ascii="楷体" w:hAnsi="楷体" w:eastAsia="楷体" w:cs="Times New Roman"/>
          <w:sz w:val="30"/>
          <w:szCs w:val="24"/>
          <w:lang w:val="en-US"/>
        </w:rPr>
      </w:pPr>
      <w:r>
        <w:rPr>
          <w:rFonts w:hint="eastAsia" w:ascii="楷体" w:hAnsi="楷体" w:eastAsia="楷体" w:cs="Times New Roman"/>
          <w:sz w:val="30"/>
          <w:szCs w:val="24"/>
          <w:lang w:val="en-US" w:eastAsia="zh-CN"/>
        </w:rPr>
        <w:t>3.</w:t>
      </w:r>
      <w:r>
        <w:rPr>
          <w:rFonts w:hint="eastAsia" w:ascii="楷体" w:hAnsi="楷体" w:eastAsia="楷体" w:cs="Times New Roman"/>
          <w:sz w:val="30"/>
          <w:szCs w:val="24"/>
          <w:lang w:val="en-US"/>
        </w:rPr>
        <w:t>天津</w:t>
      </w:r>
      <w:r>
        <w:rPr>
          <w:rFonts w:hint="eastAsia" w:ascii="楷体" w:hAnsi="楷体" w:eastAsia="楷体" w:cs="Times New Roman"/>
          <w:sz w:val="30"/>
          <w:szCs w:val="24"/>
          <w:lang w:val="en-US" w:eastAsia="zh-CN"/>
        </w:rPr>
        <w:t>经济技术开发区财务中心2022</w:t>
      </w:r>
      <w:r>
        <w:rPr>
          <w:rFonts w:hint="eastAsia" w:ascii="楷体" w:hAnsi="楷体" w:eastAsia="楷体" w:cs="Times New Roman"/>
          <w:sz w:val="30"/>
          <w:szCs w:val="24"/>
          <w:lang w:val="en-US"/>
        </w:rPr>
        <w:t>年度一般公共预算财政拨款“三公”经费支出决算表为空表。</w:t>
      </w:r>
    </w:p>
    <w:p>
      <w:pPr>
        <w:spacing w:line="360" w:lineRule="atLeast"/>
        <w:jc w:val="center"/>
        <w:rPr>
          <w:rFonts w:hint="eastAsia" w:ascii="黑体" w:hAnsi="黑体" w:eastAsia="黑体" w:cs="Times New Roman"/>
          <w:kern w:val="2"/>
          <w:sz w:val="30"/>
          <w:szCs w:val="24"/>
          <w:lang w:val="en-US"/>
        </w:rPr>
      </w:pPr>
      <w:r>
        <w:rPr>
          <w:rFonts w:hint="eastAsia" w:ascii="楷体" w:hAnsi="楷体" w:eastAsia="楷体" w:cs="Times New Roman"/>
          <w:sz w:val="30"/>
          <w:szCs w:val="24"/>
          <w:lang w:val="en-US"/>
        </w:rPr>
        <w:br w:type="page"/>
      </w:r>
    </w:p>
    <w:p>
      <w:pPr>
        <w:spacing w:line="360" w:lineRule="atLeast"/>
        <w:jc w:val="center"/>
        <w:rPr>
          <w:rFonts w:hint="eastAsia" w:ascii="方正小标宋简体" w:hAnsi="方正小标宋简体" w:eastAsia="方正小标宋简体" w:cs="Times New Roman"/>
          <w:kern w:val="44"/>
          <w:sz w:val="44"/>
          <w:szCs w:val="24"/>
          <w:lang w:val="en-US"/>
        </w:rPr>
      </w:pPr>
      <w:r>
        <w:rPr>
          <w:rFonts w:hint="eastAsia" w:ascii="方正小标宋简体" w:hAnsi="方正小标宋简体" w:eastAsia="方正小标宋简体" w:cs="Times New Roman"/>
          <w:kern w:val="44"/>
          <w:sz w:val="44"/>
          <w:szCs w:val="24"/>
          <w:lang w:val="en-US"/>
        </w:rPr>
        <w:t>第三部分  2022年度部门决算情况说明</w:t>
      </w:r>
    </w:p>
    <w:p>
      <w:pPr>
        <w:spacing w:line="580" w:lineRule="exact"/>
        <w:ind w:firstLine="600"/>
        <w:rPr>
          <w:rFonts w:hint="eastAsia" w:ascii="黑体" w:hAnsi="黑体" w:eastAsia="黑体"/>
          <w:kern w:val="2"/>
          <w:sz w:val="30"/>
          <w:szCs w:val="24"/>
          <w:lang w:val="zh-CN"/>
        </w:rPr>
      </w:pPr>
    </w:p>
    <w:p>
      <w:pPr>
        <w:pStyle w:val="3"/>
        <w:keepNext/>
        <w:keepLines/>
        <w:spacing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一、收入支出决算总体情况说明</w:t>
      </w:r>
    </w:p>
    <w:p>
      <w:pPr>
        <w:spacing w:line="580" w:lineRule="exact"/>
        <w:ind w:firstLine="600"/>
        <w:jc w:val="both"/>
        <w:rPr>
          <w:rFonts w:hint="eastAsia" w:ascii="仿宋_GB2312" w:hAnsi="仿宋_GB2312" w:eastAsia="仿宋_GB2312" w:cs="Times New Roman"/>
          <w:sz w:val="30"/>
          <w:szCs w:val="24"/>
          <w:lang w:val="zh-CN" w:eastAsia="zh-CN"/>
        </w:rPr>
      </w:pPr>
      <w:r>
        <w:rPr>
          <w:rFonts w:hint="eastAsia" w:ascii="仿宋_GB2312" w:hAnsi="仿宋_GB2312" w:eastAsia="仿宋_GB2312" w:cs="Times New Roman"/>
          <w:kern w:val="2"/>
          <w:sz w:val="30"/>
          <w:szCs w:val="24"/>
          <w:lang w:val="zh-CN"/>
        </w:rPr>
        <w:t>天津经济技术开发区财务中心2022年度收入、支出决算总计6,611,235.36</w:t>
      </w:r>
      <w:r>
        <w:rPr>
          <w:rFonts w:hint="eastAsia" w:ascii="仿宋_GB2312" w:hAnsi="仿宋_GB2312" w:eastAsia="仿宋_GB2312" w:cs="Times New Roman"/>
          <w:kern w:val="2"/>
          <w:sz w:val="30"/>
          <w:szCs w:val="24"/>
          <w:lang w:val="en-US"/>
        </w:rPr>
        <w:t>元，与2021年度相比，收、支总计各增加</w:t>
      </w:r>
      <w:r>
        <w:rPr>
          <w:rFonts w:hint="eastAsia" w:ascii="仿宋_GB2312" w:hAnsi="仿宋_GB2312" w:eastAsia="仿宋_GB2312" w:cs="Times New Roman"/>
          <w:kern w:val="2"/>
          <w:sz w:val="30"/>
          <w:szCs w:val="24"/>
          <w:lang w:val="en-US" w:eastAsia="zh-CN"/>
        </w:rPr>
        <w:t>91259.30</w:t>
      </w:r>
      <w:r>
        <w:rPr>
          <w:rFonts w:hint="eastAsia" w:ascii="仿宋_GB2312" w:hAnsi="仿宋_GB2312" w:eastAsia="仿宋_GB2312" w:cs="Times New Roman"/>
          <w:kern w:val="2"/>
          <w:sz w:val="30"/>
          <w:szCs w:val="24"/>
          <w:lang w:val="en-US"/>
        </w:rPr>
        <w:t>元，增长</w:t>
      </w:r>
      <w:r>
        <w:rPr>
          <w:rFonts w:hint="eastAsia" w:ascii="仿宋_GB2312" w:hAnsi="仿宋_GB2312" w:eastAsia="仿宋_GB2312" w:cs="Times New Roman"/>
          <w:kern w:val="2"/>
          <w:sz w:val="30"/>
          <w:szCs w:val="24"/>
          <w:lang w:val="en-US" w:eastAsia="zh-CN"/>
        </w:rPr>
        <w:t>1.40</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zh-CN"/>
        </w:rPr>
        <w:t>主要原因</w:t>
      </w:r>
      <w:r>
        <w:rPr>
          <w:rFonts w:hint="eastAsia" w:ascii="仿宋_GB2312" w:hAnsi="仿宋_GB2312" w:eastAsia="仿宋_GB2312" w:cs="Times New Roman"/>
          <w:sz w:val="30"/>
          <w:szCs w:val="24"/>
          <w:lang w:val="zh-CN" w:eastAsia="zh-CN"/>
        </w:rPr>
        <w:t>是：因新聘人员工作需要，办公设备、办公用品等支出增加。</w:t>
      </w:r>
    </w:p>
    <w:p>
      <w:pPr>
        <w:pStyle w:val="3"/>
        <w:keepNext/>
        <w:keepLines/>
        <w:spacing w:line="600" w:lineRule="exact"/>
        <w:ind w:firstLine="602"/>
        <w:rPr>
          <w:rFonts w:hint="eastAsia" w:ascii="黑体" w:hAnsi="黑体" w:eastAsia="黑体"/>
          <w:b/>
          <w:sz w:val="30"/>
          <w:szCs w:val="24"/>
          <w:lang w:val="zh-CN"/>
        </w:rPr>
      </w:pPr>
      <w:r>
        <w:rPr>
          <w:rFonts w:hint="eastAsia" w:ascii="黑体" w:hAnsi="黑体" w:eastAsia="黑体"/>
          <w:b/>
          <w:sz w:val="30"/>
          <w:szCs w:val="24"/>
          <w:lang w:val="zh-CN"/>
        </w:rPr>
        <w:t>二、</w:t>
      </w:r>
      <w:r>
        <w:rPr>
          <w:rFonts w:hint="eastAsia" w:ascii="黑体" w:hAnsi="黑体" w:eastAsia="黑体"/>
          <w:b/>
          <w:sz w:val="30"/>
          <w:szCs w:val="24"/>
          <w:lang w:val="en-US"/>
        </w:rPr>
        <w:t>收入决算情况</w:t>
      </w:r>
      <w:r>
        <w:rPr>
          <w:rFonts w:hint="eastAsia" w:ascii="黑体" w:hAnsi="黑体" w:eastAsia="黑体"/>
          <w:b/>
          <w:sz w:val="30"/>
          <w:szCs w:val="24"/>
          <w:lang w:val="zh-CN"/>
        </w:rPr>
        <w:t>说明</w:t>
      </w:r>
    </w:p>
    <w:p>
      <w:pPr>
        <w:spacing w:line="580" w:lineRule="exact"/>
        <w:ind w:firstLine="600"/>
        <w:jc w:val="both"/>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zh-CN"/>
        </w:rPr>
        <w:t>天</w:t>
      </w:r>
      <w:r>
        <w:rPr>
          <w:rFonts w:hint="eastAsia" w:ascii="仿宋_GB2312" w:hAnsi="仿宋_GB2312" w:eastAsia="仿宋_GB2312" w:cs="仿宋_GB2312"/>
          <w:sz w:val="30"/>
          <w:szCs w:val="24"/>
          <w:lang w:val="zh-CN"/>
        </w:rPr>
        <w:t>津经济技术开发区财务中心2022年度本年收入合计6,611,235.36</w:t>
      </w:r>
      <w:r>
        <w:rPr>
          <w:rFonts w:hint="eastAsia" w:ascii="仿宋_GB2312" w:hAnsi="仿宋_GB2312" w:eastAsia="仿宋_GB2312" w:cs="仿宋_GB2312"/>
          <w:sz w:val="30"/>
          <w:szCs w:val="24"/>
          <w:lang w:val="en-US"/>
        </w:rPr>
        <w:t>元，与2021年度相比增加</w:t>
      </w:r>
      <w:r>
        <w:rPr>
          <w:rFonts w:hint="eastAsia" w:ascii="仿宋_GB2312" w:hAnsi="仿宋_GB2312" w:eastAsia="仿宋_GB2312" w:cs="仿宋_GB2312"/>
          <w:sz w:val="30"/>
          <w:szCs w:val="24"/>
          <w:lang w:val="en-US" w:eastAsia="zh-CN"/>
        </w:rPr>
        <w:t>91259.30</w:t>
      </w:r>
      <w:r>
        <w:rPr>
          <w:rFonts w:hint="eastAsia" w:ascii="仿宋_GB2312" w:hAnsi="仿宋_GB2312" w:eastAsia="仿宋_GB2312" w:cs="仿宋_GB2312"/>
          <w:sz w:val="30"/>
          <w:szCs w:val="24"/>
          <w:lang w:val="en-US"/>
        </w:rPr>
        <w:t>元，</w:t>
      </w:r>
      <w:r>
        <w:rPr>
          <w:rFonts w:hint="eastAsia" w:ascii="仿宋_GB2312" w:hAnsi="仿宋_GB2312" w:eastAsia="仿宋_GB2312" w:cs="仿宋_GB2312"/>
          <w:sz w:val="30"/>
          <w:szCs w:val="24"/>
          <w:lang w:val="zh-CN"/>
        </w:rPr>
        <w:t>主要原因是：</w:t>
      </w:r>
      <w:r>
        <w:rPr>
          <w:rFonts w:hint="eastAsia" w:ascii="仿宋_GB2312" w:hAnsi="仿宋_GB2312" w:eastAsia="仿宋_GB2312" w:cs="Times New Roman"/>
          <w:sz w:val="30"/>
          <w:szCs w:val="24"/>
          <w:lang w:val="zh-CN" w:eastAsia="zh-CN"/>
        </w:rPr>
        <w:t>因新聘人员工作需要，办公设备、办公用品等支出增加。</w:t>
      </w:r>
      <w:r>
        <w:rPr>
          <w:rFonts w:hint="eastAsia" w:ascii="仿宋_GB2312" w:hAnsi="仿宋_GB2312" w:eastAsia="仿宋_GB2312" w:cs="Times New Roman"/>
          <w:sz w:val="30"/>
          <w:szCs w:val="24"/>
          <w:lang w:val="en-US" w:eastAsia="zh-CN"/>
        </w:rPr>
        <w:t>其中</w:t>
      </w:r>
      <w:r>
        <w:rPr>
          <w:rFonts w:hint="eastAsia" w:ascii="仿宋_GB2312" w:hAnsi="仿宋_GB2312" w:eastAsia="仿宋_GB2312" w:cs="仿宋_GB2312"/>
          <w:sz w:val="30"/>
          <w:szCs w:val="24"/>
          <w:lang w:val="en-US"/>
        </w:rPr>
        <w:t>：</w:t>
      </w:r>
      <w:r>
        <w:rPr>
          <w:rFonts w:hint="eastAsia" w:ascii="仿宋_GB2312" w:hAnsi="仿宋_GB2312" w:eastAsia="仿宋_GB2312" w:cs="仿宋_GB2312"/>
          <w:sz w:val="30"/>
          <w:szCs w:val="24"/>
          <w:lang w:val="zh-CN"/>
        </w:rPr>
        <w:t>一般公共预算财政拨款收入6,611,235.16元，占100.00%；其他收入0.20元，占0.00%；</w:t>
      </w:r>
    </w:p>
    <w:p>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zh-CN"/>
        </w:rPr>
        <w:t>三、支出</w:t>
      </w:r>
      <w:r>
        <w:rPr>
          <w:rFonts w:hint="eastAsia" w:ascii="黑体" w:hAnsi="黑体" w:eastAsia="黑体"/>
          <w:b/>
          <w:sz w:val="30"/>
          <w:szCs w:val="24"/>
          <w:lang w:val="en-US"/>
        </w:rPr>
        <w:t>决算情况说明</w:t>
      </w:r>
    </w:p>
    <w:p>
      <w:pPr>
        <w:spacing w:line="600" w:lineRule="exact"/>
        <w:ind w:firstLine="600" w:firstLineChars="200"/>
        <w:jc w:val="both"/>
        <w:rPr>
          <w:rFonts w:hint="eastAsia" w:ascii="仿宋_GB2312" w:hAnsi="仿宋_GB2312" w:eastAsia="仿宋_GB2312" w:cs="仿宋_GB2312"/>
          <w:sz w:val="30"/>
          <w:szCs w:val="24"/>
          <w:lang w:val="en-US"/>
        </w:rPr>
      </w:pPr>
      <w:r>
        <w:rPr>
          <w:rFonts w:hint="eastAsia" w:ascii="仿宋_GB2312" w:hAnsi="仿宋_GB2312" w:eastAsia="仿宋_GB2312" w:cs="仿宋_GB2312"/>
          <w:sz w:val="30"/>
          <w:szCs w:val="24"/>
          <w:lang w:val="en-US"/>
        </w:rPr>
        <w:t>天津经济技术开发区财务中心2022年度本年支出合计6,611,235.16元，与2021年度相比增加</w:t>
      </w:r>
      <w:r>
        <w:rPr>
          <w:rFonts w:hint="eastAsia" w:ascii="仿宋_GB2312" w:hAnsi="仿宋_GB2312" w:eastAsia="仿宋_GB2312" w:cs="仿宋_GB2312"/>
          <w:sz w:val="30"/>
          <w:szCs w:val="24"/>
          <w:lang w:val="en-US" w:eastAsia="zh-CN"/>
        </w:rPr>
        <w:t>91259.10</w:t>
      </w:r>
      <w:r>
        <w:rPr>
          <w:rFonts w:hint="eastAsia" w:ascii="仿宋_GB2312" w:hAnsi="仿宋_GB2312" w:eastAsia="仿宋_GB2312" w:cs="仿宋_GB2312"/>
          <w:sz w:val="30"/>
          <w:szCs w:val="24"/>
          <w:lang w:val="en-US"/>
        </w:rPr>
        <w:t>元，</w:t>
      </w:r>
      <w:r>
        <w:rPr>
          <w:rFonts w:hint="eastAsia" w:ascii="仿宋_GB2312" w:hAnsi="仿宋_GB2312" w:eastAsia="仿宋_GB2312" w:cs="仿宋_GB2312"/>
          <w:sz w:val="30"/>
          <w:szCs w:val="24"/>
          <w:lang w:val="zh-CN"/>
        </w:rPr>
        <w:t>主要原因是：</w:t>
      </w:r>
      <w:r>
        <w:rPr>
          <w:rFonts w:hint="eastAsia" w:ascii="仿宋_GB2312" w:hAnsi="仿宋_GB2312" w:eastAsia="仿宋_GB2312" w:cs="Times New Roman"/>
          <w:sz w:val="30"/>
          <w:szCs w:val="24"/>
          <w:lang w:val="zh-CN" w:eastAsia="zh-CN"/>
        </w:rPr>
        <w:t>因新聘人员工作需要，办公设备、办公用品等支出增加。</w:t>
      </w:r>
      <w:r>
        <w:rPr>
          <w:rFonts w:hint="eastAsia" w:ascii="仿宋_GB2312" w:hAnsi="仿宋_GB2312" w:eastAsia="仿宋_GB2312" w:cs="Times New Roman"/>
          <w:sz w:val="30"/>
          <w:szCs w:val="24"/>
          <w:lang w:val="en-US" w:eastAsia="zh-CN"/>
        </w:rPr>
        <w:t>其中</w:t>
      </w:r>
      <w:r>
        <w:rPr>
          <w:rFonts w:hint="eastAsia" w:ascii="仿宋_GB2312" w:hAnsi="仿宋_GB2312" w:eastAsia="仿宋_GB2312" w:cs="仿宋_GB2312"/>
          <w:sz w:val="30"/>
          <w:szCs w:val="24"/>
          <w:lang w:val="en-US"/>
        </w:rPr>
        <w:t>：</w:t>
      </w:r>
      <w:r>
        <w:rPr>
          <w:rFonts w:hint="eastAsia" w:ascii="仿宋_GB2312" w:hAnsi="仿宋_GB2312" w:eastAsia="仿宋_GB2312" w:cs="仿宋_GB2312"/>
          <w:sz w:val="30"/>
          <w:szCs w:val="24"/>
          <w:lang w:val="zh-CN"/>
        </w:rPr>
        <w:t>基本支出6,439,524.38元，占97.40%；项目支出171,710.78元，占2.60%；</w:t>
      </w:r>
    </w:p>
    <w:p>
      <w:pPr>
        <w:spacing w:line="600" w:lineRule="exact"/>
        <w:ind w:firstLine="602" w:firstLineChars="200"/>
        <w:jc w:val="both"/>
        <w:rPr>
          <w:rFonts w:hint="eastAsia" w:ascii="黑体" w:hAnsi="黑体" w:eastAsia="黑体"/>
          <w:b/>
          <w:sz w:val="30"/>
          <w:szCs w:val="24"/>
          <w:lang w:val="zh-CN"/>
        </w:rPr>
      </w:pPr>
      <w:r>
        <w:rPr>
          <w:rFonts w:hint="eastAsia" w:ascii="黑体" w:hAnsi="黑体" w:eastAsia="黑体" w:cs="Times New Roman"/>
          <w:b/>
          <w:sz w:val="30"/>
          <w:szCs w:val="24"/>
          <w:lang w:val="zh-CN"/>
        </w:rPr>
        <w:t>四、财政</w:t>
      </w:r>
      <w:r>
        <w:rPr>
          <w:rFonts w:hint="eastAsia" w:ascii="黑体" w:hAnsi="黑体" w:eastAsia="黑体"/>
          <w:b/>
          <w:sz w:val="30"/>
          <w:szCs w:val="24"/>
          <w:lang w:val="zh-CN"/>
        </w:rPr>
        <w:t>拨款收支决算总体情况说明</w:t>
      </w:r>
    </w:p>
    <w:p>
      <w:pPr>
        <w:spacing w:line="580" w:lineRule="exact"/>
        <w:ind w:firstLine="600"/>
        <w:jc w:val="both"/>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kern w:val="2"/>
          <w:sz w:val="30"/>
          <w:szCs w:val="24"/>
          <w:lang w:val="en-US"/>
        </w:rPr>
        <w:t>天津经济技术开发区财务中心2022年度财政拨款收入、支出决算总计</w:t>
      </w:r>
      <w:r>
        <w:rPr>
          <w:rFonts w:hint="eastAsia" w:ascii="仿宋_GB2312" w:hAnsi="仿宋_GB2312" w:eastAsia="仿宋_GB2312" w:cs="Times New Roman"/>
          <w:kern w:val="2"/>
          <w:sz w:val="30"/>
          <w:szCs w:val="24"/>
          <w:lang w:val="zh-CN"/>
        </w:rPr>
        <w:t>6,611,235.16</w:t>
      </w:r>
      <w:r>
        <w:rPr>
          <w:rFonts w:hint="eastAsia" w:ascii="仿宋_GB2312" w:hAnsi="仿宋_GB2312" w:eastAsia="仿宋_GB2312" w:cs="Times New Roman"/>
          <w:kern w:val="2"/>
          <w:sz w:val="30"/>
          <w:szCs w:val="24"/>
          <w:lang w:val="en-US"/>
        </w:rPr>
        <w:t>元，与2021年度相比，财政拨款收、支总计各增加</w:t>
      </w:r>
      <w:r>
        <w:rPr>
          <w:rFonts w:hint="eastAsia" w:ascii="仿宋_GB2312" w:hAnsi="仿宋_GB2312" w:eastAsia="仿宋_GB2312" w:cs="Times New Roman"/>
          <w:kern w:val="2"/>
          <w:sz w:val="30"/>
          <w:szCs w:val="24"/>
          <w:lang w:val="en-US" w:eastAsia="zh-CN"/>
        </w:rPr>
        <w:t>91259.10</w:t>
      </w:r>
      <w:r>
        <w:rPr>
          <w:rFonts w:hint="eastAsia" w:ascii="仿宋_GB2312" w:hAnsi="仿宋_GB2312" w:eastAsia="仿宋_GB2312" w:cs="Times New Roman"/>
          <w:kern w:val="2"/>
          <w:sz w:val="30"/>
          <w:szCs w:val="24"/>
          <w:lang w:val="en-US"/>
        </w:rPr>
        <w:t>元，增长</w:t>
      </w:r>
      <w:r>
        <w:rPr>
          <w:rFonts w:hint="eastAsia" w:ascii="仿宋_GB2312" w:hAnsi="仿宋_GB2312" w:eastAsia="仿宋_GB2312" w:cs="Times New Roman"/>
          <w:kern w:val="2"/>
          <w:sz w:val="30"/>
          <w:szCs w:val="24"/>
          <w:lang w:val="en-US" w:eastAsia="zh-CN"/>
        </w:rPr>
        <w:t>1.40</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zh-CN"/>
        </w:rPr>
        <w:t>主要原因</w:t>
      </w:r>
      <w:r>
        <w:rPr>
          <w:rFonts w:hint="eastAsia" w:ascii="仿宋_GB2312" w:hAnsi="仿宋_GB2312" w:eastAsia="仿宋_GB2312" w:cs="Times New Roman"/>
          <w:sz w:val="30"/>
          <w:szCs w:val="24"/>
          <w:lang w:val="zh-CN" w:eastAsia="zh-CN"/>
        </w:rPr>
        <w:t>是：因新聘人员工作需要，办公设备、办公用品等支出增加。</w:t>
      </w:r>
    </w:p>
    <w:p>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五、一般公共预算财政拨款支出决算情况说明</w:t>
      </w:r>
    </w:p>
    <w:p>
      <w:pPr>
        <w:spacing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（一）总体情况</w:t>
      </w:r>
    </w:p>
    <w:p>
      <w:pPr>
        <w:spacing w:line="580" w:lineRule="exact"/>
        <w:ind w:firstLine="600"/>
        <w:jc w:val="both"/>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kern w:val="2"/>
          <w:sz w:val="30"/>
          <w:szCs w:val="24"/>
          <w:lang w:val="en-US"/>
        </w:rPr>
        <w:t>天津经济技术开发区财务中心2022年度部门决算一般公共预算财政拨款支出</w:t>
      </w:r>
      <w:r>
        <w:rPr>
          <w:rFonts w:hint="eastAsia" w:ascii="仿宋_GB2312" w:hAnsi="仿宋_GB2312" w:eastAsia="仿宋_GB2312" w:cs="Times New Roman"/>
          <w:kern w:val="2"/>
          <w:sz w:val="30"/>
          <w:szCs w:val="24"/>
          <w:lang w:val="zh-CN"/>
        </w:rPr>
        <w:t>合</w:t>
      </w:r>
      <w:r>
        <w:rPr>
          <w:rFonts w:hint="eastAsia" w:ascii="仿宋_GB2312" w:hAnsi="仿宋_GB2312" w:eastAsia="仿宋_GB2312" w:cs="Times New Roman"/>
          <w:kern w:val="2"/>
          <w:sz w:val="30"/>
          <w:szCs w:val="24"/>
          <w:lang w:val="en-US"/>
        </w:rPr>
        <w:t>计6,611,235.16元，占本年支出合计的100.00%，与2021年度相比，增加</w:t>
      </w:r>
      <w:r>
        <w:rPr>
          <w:rFonts w:hint="eastAsia" w:ascii="仿宋_GB2312" w:hAnsi="仿宋_GB2312" w:eastAsia="仿宋_GB2312" w:cs="Times New Roman"/>
          <w:kern w:val="2"/>
          <w:sz w:val="30"/>
          <w:szCs w:val="24"/>
          <w:lang w:val="en-US" w:eastAsia="zh-CN"/>
        </w:rPr>
        <w:t>91259.10</w:t>
      </w:r>
      <w:r>
        <w:rPr>
          <w:rFonts w:hint="eastAsia" w:ascii="仿宋_GB2312" w:hAnsi="仿宋_GB2312" w:eastAsia="仿宋_GB2312" w:cs="Times New Roman"/>
          <w:kern w:val="2"/>
          <w:sz w:val="30"/>
          <w:szCs w:val="24"/>
          <w:lang w:val="en-US"/>
        </w:rPr>
        <w:t>元，增长</w:t>
      </w:r>
      <w:r>
        <w:rPr>
          <w:rFonts w:hint="eastAsia" w:ascii="仿宋_GB2312" w:hAnsi="仿宋_GB2312" w:eastAsia="仿宋_GB2312" w:cs="Times New Roman"/>
          <w:kern w:val="2"/>
          <w:sz w:val="30"/>
          <w:szCs w:val="24"/>
          <w:lang w:val="en-US" w:eastAsia="zh-CN"/>
        </w:rPr>
        <w:t>1.40</w:t>
      </w:r>
      <w:r>
        <w:rPr>
          <w:rFonts w:hint="eastAsia" w:ascii="仿宋_GB2312" w:hAnsi="仿宋_GB2312" w:eastAsia="仿宋_GB2312" w:cs="Times New Roman"/>
          <w:kern w:val="2"/>
          <w:sz w:val="30"/>
          <w:szCs w:val="24"/>
          <w:lang w:val="en-US"/>
        </w:rPr>
        <w:t>%，</w:t>
      </w:r>
      <w:r>
        <w:rPr>
          <w:rFonts w:hint="eastAsia" w:ascii="仿宋_GB2312" w:hAnsi="仿宋_GB2312" w:eastAsia="仿宋_GB2312" w:cs="Times New Roman"/>
          <w:kern w:val="2"/>
          <w:sz w:val="30"/>
          <w:szCs w:val="24"/>
          <w:lang w:val="zh-CN"/>
        </w:rPr>
        <w:t>主要原因是</w:t>
      </w:r>
      <w:r>
        <w:rPr>
          <w:rFonts w:hint="eastAsia" w:ascii="仿宋_GB2312" w:hAnsi="仿宋_GB2312" w:eastAsia="仿宋_GB2312" w:cs="Times New Roman"/>
          <w:sz w:val="30"/>
          <w:szCs w:val="24"/>
          <w:lang w:val="zh-CN" w:eastAsia="zh-CN"/>
        </w:rPr>
        <w:t>：因新聘人员工作需要，办公设备、办公用品等支出增加。</w:t>
      </w:r>
    </w:p>
    <w:p>
      <w:pPr>
        <w:spacing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（二）</w:t>
      </w:r>
      <w:r>
        <w:rPr>
          <w:rFonts w:hint="eastAsia" w:ascii="楷体" w:hAnsi="楷体" w:eastAsia="楷体"/>
          <w:b/>
          <w:sz w:val="30"/>
          <w:szCs w:val="24"/>
          <w:lang w:val="zh-CN"/>
        </w:rPr>
        <w:t>支出结构</w:t>
      </w:r>
      <w:r>
        <w:rPr>
          <w:rFonts w:hint="eastAsia" w:ascii="楷体" w:hAnsi="楷体" w:eastAsia="楷体"/>
          <w:b/>
          <w:sz w:val="30"/>
          <w:szCs w:val="24"/>
          <w:lang w:val="en-US"/>
        </w:rPr>
        <w:t>情况</w:t>
      </w:r>
    </w:p>
    <w:p>
      <w:pPr>
        <w:spacing w:line="580" w:lineRule="exact"/>
        <w:ind w:firstLine="600"/>
        <w:jc w:val="both"/>
        <w:rPr>
          <w:rFonts w:hint="eastAsia" w:ascii="仿宋_GB2312" w:hAnsi="仿宋_GB2312" w:eastAsia="仿宋_GB2312" w:cs="Times New Roman"/>
          <w:kern w:val="2"/>
          <w:sz w:val="30"/>
          <w:szCs w:val="24"/>
          <w:lang w:val="zh-CN"/>
        </w:rPr>
      </w:pPr>
      <w:r>
        <w:rPr>
          <w:rFonts w:hint="eastAsia" w:ascii="仿宋_GB2312" w:hAnsi="仿宋_GB2312" w:eastAsia="仿宋_GB2312" w:cs="Times New Roman"/>
          <w:kern w:val="2"/>
          <w:sz w:val="30"/>
          <w:szCs w:val="24"/>
          <w:lang w:val="en-US"/>
        </w:rPr>
        <w:t>2022年度一般公共预算财政拨款支出6,611,235.16元，主要用于以下方面：</w:t>
      </w:r>
      <w:r>
        <w:rPr>
          <w:rFonts w:hint="eastAsia" w:ascii="仿宋_GB2312" w:hAnsi="仿宋_GB2312" w:eastAsia="仿宋_GB2312" w:cs="Times New Roman"/>
          <w:kern w:val="2"/>
          <w:sz w:val="30"/>
          <w:szCs w:val="24"/>
          <w:lang w:val="zh-CN"/>
        </w:rPr>
        <w:t>一般公共服务支出6,611,235.16元，占100.00%；</w:t>
      </w:r>
    </w:p>
    <w:p>
      <w:pPr>
        <w:spacing w:line="600" w:lineRule="exact"/>
        <w:ind w:left="480"/>
        <w:rPr>
          <w:rFonts w:hint="eastAsia" w:ascii="楷体" w:hAnsi="楷体" w:eastAsia="楷体"/>
          <w:b/>
          <w:sz w:val="30"/>
          <w:szCs w:val="24"/>
          <w:lang w:val="en-US"/>
        </w:rPr>
      </w:pPr>
      <w:r>
        <w:rPr>
          <w:rFonts w:hint="eastAsia" w:ascii="楷体" w:hAnsi="楷体" w:eastAsia="楷体"/>
          <w:b/>
          <w:sz w:val="30"/>
          <w:szCs w:val="24"/>
          <w:lang w:val="en-US"/>
        </w:rPr>
        <w:t>（三）具体情况</w:t>
      </w:r>
    </w:p>
    <w:p>
      <w:pPr>
        <w:spacing w:line="580" w:lineRule="exact"/>
        <w:ind w:firstLine="600"/>
        <w:jc w:val="both"/>
        <w:rPr>
          <w:rFonts w:hint="eastAsia" w:ascii="仿宋_GB2312" w:hAnsi="仿宋_GB2312" w:eastAsia="仿宋_GB2312" w:cs="Times New Roman"/>
          <w:kern w:val="2"/>
          <w:sz w:val="30"/>
          <w:szCs w:val="24"/>
          <w:lang w:val="en-US"/>
        </w:rPr>
      </w:pPr>
      <w:r>
        <w:rPr>
          <w:rFonts w:hint="eastAsia" w:ascii="仿宋_GB2312" w:hAnsi="仿宋_GB2312" w:eastAsia="仿宋_GB2312" w:cs="Times New Roman"/>
          <w:kern w:val="2"/>
          <w:sz w:val="30"/>
          <w:szCs w:val="24"/>
          <w:lang w:val="en-US"/>
        </w:rPr>
        <w:t>2022年度一般公共预算财政拨款支出年初预算为7,955,600.00元，支出决算为6,611,235.16元，完成年初预算的83.10%。其中：</w:t>
      </w:r>
    </w:p>
    <w:p>
      <w:pPr>
        <w:spacing w:line="580" w:lineRule="exact"/>
        <w:ind w:firstLine="600"/>
        <w:jc w:val="both"/>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kern w:val="2"/>
          <w:sz w:val="30"/>
          <w:szCs w:val="24"/>
          <w:lang w:val="en-US" w:eastAsia="zh-CN"/>
        </w:rPr>
        <w:t>1.</w:t>
      </w:r>
      <w:r>
        <w:rPr>
          <w:rFonts w:hint="eastAsia" w:ascii="仿宋_GB2312" w:hAnsi="仿宋_GB2312" w:eastAsia="仿宋_GB2312" w:cs="Times New Roman"/>
          <w:kern w:val="2"/>
          <w:sz w:val="30"/>
          <w:szCs w:val="24"/>
          <w:lang w:val="en-US"/>
        </w:rPr>
        <w:t>一般公共服务支出（类）财政事务（款）事业运行（项）年初预算</w:t>
      </w:r>
      <w:r>
        <w:rPr>
          <w:rFonts w:hint="eastAsia" w:ascii="仿宋_GB2312" w:hAnsi="仿宋_GB2312" w:eastAsia="仿宋_GB2312" w:cs="Times New Roman"/>
          <w:sz w:val="30"/>
          <w:szCs w:val="24"/>
          <w:lang w:val="en-US" w:eastAsia="zh-CN"/>
        </w:rPr>
        <w:t>为7,565,600元，支出决算为6335873.38元，完成年初预算的83.75%，决算数小于（大于）年初预算数的主要原因是按照“真过紧日子精神”，在预算执行中压减经费支出。</w:t>
      </w:r>
    </w:p>
    <w:p>
      <w:pPr>
        <w:spacing w:line="580" w:lineRule="exact"/>
        <w:ind w:firstLine="600"/>
        <w:jc w:val="both"/>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kern w:val="2"/>
          <w:sz w:val="30"/>
          <w:szCs w:val="24"/>
          <w:lang w:val="en-US" w:eastAsia="zh-CN"/>
        </w:rPr>
        <w:t>2.</w:t>
      </w:r>
      <w:r>
        <w:rPr>
          <w:rFonts w:hint="eastAsia" w:ascii="仿宋_GB2312" w:hAnsi="仿宋_GB2312" w:eastAsia="仿宋_GB2312" w:cs="Times New Roman"/>
          <w:kern w:val="2"/>
          <w:sz w:val="30"/>
          <w:szCs w:val="24"/>
          <w:lang w:val="en-US"/>
        </w:rPr>
        <w:t>一般公共服务支出（类）财政事务（款）其他财政事务支出（项）年初预算</w:t>
      </w:r>
      <w:r>
        <w:rPr>
          <w:rFonts w:hint="eastAsia" w:ascii="仿宋_GB2312" w:hAnsi="仿宋_GB2312" w:eastAsia="仿宋_GB2312" w:cs="Times New Roman"/>
          <w:sz w:val="30"/>
          <w:szCs w:val="24"/>
          <w:lang w:val="en-US" w:eastAsia="zh-CN"/>
        </w:rPr>
        <w:t>为390,000元，支出决算为275361.78元，完成年初预算的70.61%，决算数小于（大于）年初预算数的主要原因是按照“真过紧日子精神”，在预算执行中压减经费支出。</w:t>
      </w:r>
    </w:p>
    <w:p>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六、一般公共预算财政拨款基本支出决算情况说明</w:t>
      </w:r>
    </w:p>
    <w:p>
      <w:pPr>
        <w:spacing w:line="580" w:lineRule="exact"/>
        <w:ind w:firstLine="600"/>
        <w:jc w:val="both"/>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kern w:val="2"/>
          <w:sz w:val="30"/>
          <w:szCs w:val="24"/>
          <w:lang w:val="en-US" w:eastAsia="zh-CN"/>
        </w:rPr>
        <w:t>天津经济技术开发区财务中心2022年度部门决算一般公共预算财政拨款基本支出合计6,439,524.38元，与2021年度相比减少了80451.68元，主要原因是</w:t>
      </w:r>
      <w:r>
        <w:rPr>
          <w:rFonts w:hint="eastAsia" w:ascii="仿宋_GB2312" w:hAnsi="仿宋_GB2312" w:eastAsia="仿宋_GB2312" w:cs="Times New Roman"/>
          <w:sz w:val="30"/>
          <w:szCs w:val="24"/>
          <w:lang w:val="zh-CN" w:eastAsia="zh-CN"/>
        </w:rPr>
        <w:t>：</w:t>
      </w:r>
      <w:r>
        <w:rPr>
          <w:rFonts w:hint="eastAsia" w:ascii="仿宋_GB2312" w:hAnsi="仿宋_GB2312" w:eastAsia="仿宋_GB2312" w:cs="Times New Roman"/>
          <w:sz w:val="30"/>
          <w:szCs w:val="24"/>
          <w:lang w:val="en-US" w:eastAsia="zh-CN"/>
        </w:rPr>
        <w:t>按照“真过紧日子精神”，在预算执行中压减经费支出。</w:t>
      </w:r>
    </w:p>
    <w:p>
      <w:pPr>
        <w:pStyle w:val="3"/>
        <w:keepNext/>
        <w:keepLines/>
        <w:spacing w:line="600" w:lineRule="exact"/>
        <w:ind w:firstLine="602"/>
        <w:rPr>
          <w:rFonts w:hint="eastAsia" w:ascii="黑体" w:hAnsi="黑体" w:eastAsia="黑体"/>
          <w:b/>
          <w:sz w:val="30"/>
          <w:szCs w:val="24"/>
          <w:lang w:val="en-US"/>
        </w:rPr>
      </w:pPr>
      <w:r>
        <w:rPr>
          <w:rFonts w:hint="eastAsia" w:ascii="黑体" w:hAnsi="黑体" w:eastAsia="黑体"/>
          <w:b/>
          <w:sz w:val="30"/>
          <w:szCs w:val="24"/>
          <w:lang w:val="en-US"/>
        </w:rPr>
        <w:t>七、政府性基金预算财政拨款收支决算情况</w:t>
      </w:r>
    </w:p>
    <w:p>
      <w:pPr>
        <w:spacing w:line="580" w:lineRule="exact"/>
        <w:ind w:firstLine="600"/>
        <w:jc w:val="both"/>
        <w:rPr>
          <w:rFonts w:hint="eastAsia" w:ascii="仿宋_GB2312" w:hAnsi="仿宋_GB2312" w:eastAsia="仿宋_GB2312" w:cs="Times New Roman"/>
          <w:kern w:val="2"/>
          <w:sz w:val="30"/>
          <w:szCs w:val="24"/>
          <w:lang w:val="en-US" w:eastAsia="zh-CN"/>
        </w:rPr>
      </w:pPr>
      <w:r>
        <w:rPr>
          <w:rFonts w:hint="eastAsia" w:ascii="仿宋_GB2312" w:hAnsi="仿宋_GB2312" w:eastAsia="仿宋_GB2312" w:cs="Times New Roman"/>
          <w:kern w:val="2"/>
          <w:sz w:val="30"/>
          <w:szCs w:val="24"/>
          <w:lang w:val="en-US" w:eastAsia="zh-CN"/>
        </w:rPr>
        <w:t>天津经济技术开发区财务中心2022年度无政府性基金预算财政拨款收入、支出和结转结余。</w:t>
      </w:r>
    </w:p>
    <w:p>
      <w:pPr>
        <w:spacing w:line="600" w:lineRule="exact"/>
        <w:ind w:firstLine="600"/>
        <w:rPr>
          <w:rFonts w:hint="eastAsia" w:ascii="黑体" w:hAnsi="黑体" w:eastAsia="黑体"/>
          <w:b/>
          <w:sz w:val="30"/>
          <w:szCs w:val="24"/>
          <w:lang w:val="en-US"/>
        </w:rPr>
      </w:pPr>
      <w:r>
        <w:rPr>
          <w:rFonts w:hint="eastAsia" w:ascii="黑体" w:hAnsi="黑体" w:eastAsia="黑体"/>
          <w:b/>
          <w:sz w:val="30"/>
          <w:szCs w:val="24"/>
          <w:lang w:val="en-US"/>
        </w:rPr>
        <w:t>八、国有资本经营预算财政拨款收支决算情况说明</w:t>
      </w:r>
    </w:p>
    <w:p>
      <w:pPr>
        <w:spacing w:line="580" w:lineRule="exact"/>
        <w:ind w:firstLine="600"/>
        <w:jc w:val="both"/>
        <w:rPr>
          <w:rFonts w:hint="eastAsia" w:ascii="仿宋_GB2312" w:hAnsi="仿宋_GB2312" w:eastAsia="仿宋_GB2312" w:cs="Times New Roman"/>
          <w:kern w:val="2"/>
          <w:sz w:val="30"/>
          <w:szCs w:val="24"/>
          <w:lang w:val="en-US" w:eastAsia="zh-CN"/>
        </w:rPr>
      </w:pPr>
      <w:r>
        <w:rPr>
          <w:rFonts w:hint="eastAsia" w:ascii="仿宋_GB2312" w:hAnsi="仿宋_GB2312" w:eastAsia="仿宋_GB2312" w:cs="Times New Roman"/>
          <w:kern w:val="2"/>
          <w:sz w:val="30"/>
          <w:szCs w:val="24"/>
          <w:lang w:val="en-US" w:eastAsia="zh-CN"/>
        </w:rPr>
        <w:t>天津经济技术开发区财务中心</w:t>
      </w:r>
      <w:r>
        <w:rPr>
          <w:rFonts w:hint="eastAsia" w:ascii="仿宋_GB2312" w:hAnsi="仿宋_GB2312" w:eastAsia="仿宋_GB2312" w:cs="Times New Roman"/>
          <w:kern w:val="2"/>
          <w:sz w:val="30"/>
          <w:szCs w:val="24"/>
          <w:lang w:val="zh-CN" w:eastAsia="zh-CN"/>
        </w:rPr>
        <w:t>2022年度无国有资本经营预算财政拨款收入、支出和结转结余。</w:t>
      </w:r>
    </w:p>
    <w:p>
      <w:pPr>
        <w:pStyle w:val="3"/>
        <w:keepNext/>
        <w:keepLines/>
        <w:spacing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九、一般公共预算财政拨款“三公”经费</w:t>
      </w:r>
      <w:r>
        <w:rPr>
          <w:rFonts w:hint="eastAsia" w:ascii="黑体" w:hAnsi="黑体" w:eastAsia="黑体"/>
          <w:b/>
          <w:color w:val="auto"/>
          <w:sz w:val="30"/>
          <w:szCs w:val="24"/>
          <w:lang w:val="zh-CN"/>
        </w:rPr>
        <w:t>支出决算</w:t>
      </w:r>
      <w:r>
        <w:rPr>
          <w:rFonts w:hint="eastAsia" w:ascii="黑体" w:hAnsi="黑体" w:eastAsia="黑体"/>
          <w:b/>
          <w:color w:val="auto"/>
          <w:sz w:val="30"/>
          <w:szCs w:val="24"/>
          <w:lang w:val="en-US"/>
        </w:rPr>
        <w:t>情况</w:t>
      </w:r>
    </w:p>
    <w:p>
      <w:pPr>
        <w:spacing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（一）总体情况</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 xml:space="preserve">2022年一般公共预算财政拨款“三公”经费预算 0.00 </w:t>
      </w:r>
      <w:r>
        <w:rPr>
          <w:rFonts w:hint="eastAsia" w:ascii="仿宋_GB2312" w:hAnsi="仿宋_GB2312" w:eastAsia="仿宋_GB2312" w:cs="Times New Roman"/>
          <w:sz w:val="30"/>
          <w:szCs w:val="24"/>
          <w:lang w:val="en-US" w:eastAsia="zh-CN"/>
        </w:rPr>
        <w:t xml:space="preserve">元，支出决算 0.00 </w:t>
      </w:r>
      <w:r>
        <w:rPr>
          <w:rFonts w:hint="eastAsia" w:ascii="仿宋_GB2312" w:hAnsi="仿宋_GB2312" w:eastAsia="仿宋_GB2312" w:cs="Times New Roman"/>
          <w:sz w:val="30"/>
          <w:szCs w:val="24"/>
          <w:lang w:val="en-US" w:eastAsia="zh-CN"/>
        </w:rPr>
        <w:t xml:space="preserve">元，与2022年预算相比增加（减少） 0.00 </w:t>
      </w:r>
      <w:r>
        <w:rPr>
          <w:rFonts w:hint="eastAsia" w:ascii="仿宋_GB2312" w:hAnsi="仿宋_GB2312" w:eastAsia="仿宋_GB2312" w:cs="Times New Roman"/>
          <w:sz w:val="30"/>
          <w:szCs w:val="24"/>
          <w:lang w:val="en-US" w:eastAsia="zh-CN"/>
        </w:rPr>
        <w:t xml:space="preserve">元，完成预算的  0.00  </w:t>
      </w:r>
      <w:r>
        <w:rPr>
          <w:rFonts w:hint="eastAsia" w:ascii="仿宋_GB2312" w:hAnsi="仿宋_GB2312" w:eastAsia="仿宋_GB2312" w:cs="Times New Roman"/>
          <w:sz w:val="30"/>
          <w:szCs w:val="24"/>
          <w:lang w:val="en-US" w:eastAsia="zh-CN"/>
        </w:rPr>
        <w:t xml:space="preserve">%；较上年持平 0.00 </w:t>
      </w:r>
      <w:r>
        <w:rPr>
          <w:rFonts w:hint="eastAsia" w:ascii="仿宋_GB2312" w:hAnsi="仿宋_GB2312" w:eastAsia="仿宋_GB2312" w:cs="Times New Roman"/>
          <w:sz w:val="30"/>
          <w:szCs w:val="24"/>
          <w:lang w:val="en-US" w:eastAsia="zh-CN"/>
        </w:rPr>
        <w:t xml:space="preserve">元，持平 0.00% </w:t>
      </w:r>
      <w:r>
        <w:rPr>
          <w:rFonts w:hint="eastAsia" w:ascii="仿宋_GB2312" w:hAnsi="仿宋_GB2312" w:eastAsia="仿宋_GB2312" w:cs="Times New Roman"/>
          <w:sz w:val="30"/>
          <w:szCs w:val="24"/>
          <w:lang w:val="en-US" w:eastAsia="zh-CN"/>
        </w:rPr>
        <w:t>。主要原因是本年度未用一般公共预算列支“三公”经费”。</w:t>
      </w:r>
    </w:p>
    <w:p>
      <w:pPr>
        <w:spacing w:line="600" w:lineRule="exact"/>
        <w:ind w:firstLine="602"/>
        <w:rPr>
          <w:rFonts w:hint="eastAsia" w:ascii="楷体" w:hAnsi="楷体" w:eastAsia="楷体"/>
          <w:b/>
          <w:color w:val="auto"/>
          <w:sz w:val="30"/>
          <w:szCs w:val="24"/>
          <w:lang w:val="en-US"/>
        </w:rPr>
      </w:pPr>
      <w:r>
        <w:rPr>
          <w:rFonts w:hint="eastAsia" w:ascii="楷体" w:hAnsi="楷体" w:eastAsia="楷体"/>
          <w:b/>
          <w:color w:val="auto"/>
          <w:sz w:val="30"/>
          <w:szCs w:val="24"/>
          <w:lang w:val="en-US"/>
        </w:rPr>
        <w:t>（二）具体情况</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 xml:space="preserve">1.因公出国（境）费预算 0.00 </w:t>
      </w:r>
      <w:r>
        <w:rPr>
          <w:rFonts w:hint="eastAsia" w:ascii="仿宋_GB2312" w:hAnsi="仿宋_GB2312" w:eastAsia="仿宋_GB2312" w:cs="Times New Roman"/>
          <w:sz w:val="30"/>
          <w:szCs w:val="24"/>
          <w:lang w:val="en-US" w:eastAsia="zh-CN"/>
        </w:rPr>
        <w:t xml:space="preserve">元，支出决算 0.00 </w:t>
      </w:r>
      <w:r>
        <w:rPr>
          <w:rFonts w:hint="eastAsia" w:ascii="仿宋_GB2312" w:hAnsi="仿宋_GB2312" w:eastAsia="仿宋_GB2312" w:cs="Times New Roman"/>
          <w:sz w:val="30"/>
          <w:szCs w:val="24"/>
          <w:lang w:val="en-US" w:eastAsia="zh-CN"/>
        </w:rPr>
        <w:t xml:space="preserve">元，与预算相比增加（减少） 0.00 </w:t>
      </w:r>
      <w:r>
        <w:rPr>
          <w:rFonts w:hint="eastAsia" w:ascii="仿宋_GB2312" w:hAnsi="仿宋_GB2312" w:eastAsia="仿宋_GB2312" w:cs="Times New Roman"/>
          <w:sz w:val="30"/>
          <w:szCs w:val="24"/>
          <w:lang w:val="en-US" w:eastAsia="zh-CN"/>
        </w:rPr>
        <w:t xml:space="preserve">元，完成预算的 0.00 </w:t>
      </w:r>
      <w:r>
        <w:rPr>
          <w:rFonts w:hint="eastAsia" w:ascii="仿宋_GB2312" w:hAnsi="仿宋_GB2312" w:eastAsia="仿宋_GB2312" w:cs="Times New Roman"/>
          <w:sz w:val="30"/>
          <w:szCs w:val="24"/>
          <w:lang w:val="en-US" w:eastAsia="zh-CN"/>
        </w:rPr>
        <w:t>%；较上年持平0.00 元，持平0.00 %。主要原因是 本年度未用一般公共预算列支“三公”经费。</w:t>
      </w:r>
      <w:r>
        <w:rPr>
          <w:rFonts w:hint="eastAsia" w:ascii="仿宋_GB2312" w:hAnsi="仿宋_GB2312" w:eastAsia="仿宋_GB2312" w:cs="Times New Roman"/>
          <w:sz w:val="30"/>
          <w:szCs w:val="24"/>
          <w:lang w:val="en-US" w:eastAsia="zh-CN"/>
        </w:rPr>
        <w:t xml:space="preserve">2022年本单位组织的出国团组 0 </w:t>
      </w:r>
      <w:r>
        <w:rPr>
          <w:rFonts w:hint="eastAsia" w:ascii="仿宋_GB2312" w:hAnsi="仿宋_GB2312" w:eastAsia="仿宋_GB2312" w:cs="Times New Roman"/>
          <w:sz w:val="30"/>
          <w:szCs w:val="24"/>
          <w:lang w:val="en-US" w:eastAsia="zh-CN"/>
        </w:rPr>
        <w:t xml:space="preserve">个，出国 0 </w:t>
      </w:r>
      <w:r>
        <w:rPr>
          <w:rFonts w:hint="eastAsia" w:ascii="仿宋_GB2312" w:hAnsi="仿宋_GB2312" w:eastAsia="仿宋_GB2312" w:cs="Times New Roman"/>
          <w:sz w:val="30"/>
          <w:szCs w:val="24"/>
          <w:lang w:val="en-US" w:eastAsia="zh-CN"/>
        </w:rPr>
        <w:t>人次。</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olor w:val="auto"/>
          <w:sz w:val="30"/>
          <w:szCs w:val="24"/>
          <w:lang w:val="en-US"/>
        </w:rPr>
        <w:t>2.</w:t>
      </w:r>
      <w:r>
        <w:rPr>
          <w:rFonts w:hint="eastAsia" w:ascii="仿宋_GB2312" w:hAnsi="仿宋_GB2312" w:eastAsia="仿宋_GB2312" w:cs="Times New Roman"/>
          <w:sz w:val="30"/>
          <w:szCs w:val="24"/>
          <w:lang w:val="en-US" w:eastAsia="zh-CN"/>
        </w:rPr>
        <w:t xml:space="preserve">公务用车购置及运行维护费预算 0.00 </w:t>
      </w:r>
      <w:r>
        <w:rPr>
          <w:rFonts w:hint="eastAsia" w:ascii="仿宋_GB2312" w:hAnsi="仿宋_GB2312" w:eastAsia="仿宋_GB2312" w:cs="Times New Roman"/>
          <w:sz w:val="30"/>
          <w:szCs w:val="24"/>
          <w:lang w:val="en-US" w:eastAsia="zh-CN"/>
        </w:rPr>
        <w:t xml:space="preserve">元，支出决算 0.00 </w:t>
      </w:r>
      <w:r>
        <w:rPr>
          <w:rFonts w:hint="eastAsia" w:ascii="仿宋_GB2312" w:hAnsi="仿宋_GB2312" w:eastAsia="仿宋_GB2312" w:cs="Times New Roman"/>
          <w:sz w:val="30"/>
          <w:szCs w:val="24"/>
          <w:lang w:val="en-US" w:eastAsia="zh-CN"/>
        </w:rPr>
        <w:t xml:space="preserve">元，与预算相比增加（减少） 0.00 </w:t>
      </w:r>
      <w:r>
        <w:rPr>
          <w:rFonts w:hint="eastAsia" w:ascii="仿宋_GB2312" w:hAnsi="仿宋_GB2312" w:eastAsia="仿宋_GB2312" w:cs="Times New Roman"/>
          <w:sz w:val="30"/>
          <w:szCs w:val="24"/>
          <w:lang w:val="en-US" w:eastAsia="zh-CN"/>
        </w:rPr>
        <w:t>元，完成预算的0.00%</w:t>
      </w:r>
      <w:r>
        <w:rPr>
          <w:rFonts w:hint="eastAsia" w:ascii="仿宋_GB2312" w:hAnsi="仿宋_GB2312" w:eastAsia="仿宋_GB2312" w:cs="Times New Roman"/>
          <w:sz w:val="30"/>
          <w:szCs w:val="24"/>
          <w:lang w:val="en-US" w:eastAsia="zh-CN"/>
        </w:rPr>
        <w:t>；较上年持平0.00元，持平0.00 %。其中：</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 xml:space="preserve">公务用车运行维护费预算 0.00 </w:t>
      </w:r>
      <w:r>
        <w:rPr>
          <w:rFonts w:hint="eastAsia" w:ascii="仿宋_GB2312" w:hAnsi="仿宋_GB2312" w:eastAsia="仿宋_GB2312" w:cs="Times New Roman"/>
          <w:sz w:val="30"/>
          <w:szCs w:val="24"/>
          <w:lang w:val="en-US" w:eastAsia="zh-CN"/>
        </w:rPr>
        <w:t xml:space="preserve">元，支出决算 0.00 </w:t>
      </w:r>
      <w:r>
        <w:rPr>
          <w:rFonts w:hint="eastAsia" w:ascii="仿宋_GB2312" w:hAnsi="仿宋_GB2312" w:eastAsia="仿宋_GB2312" w:cs="Times New Roman"/>
          <w:sz w:val="30"/>
          <w:szCs w:val="24"/>
          <w:lang w:val="en-US" w:eastAsia="zh-CN"/>
        </w:rPr>
        <w:t xml:space="preserve">元，与预算相比增加（减少） 0.00 </w:t>
      </w:r>
      <w:r>
        <w:rPr>
          <w:rFonts w:hint="eastAsia" w:ascii="仿宋_GB2312" w:hAnsi="仿宋_GB2312" w:eastAsia="仿宋_GB2312" w:cs="Times New Roman"/>
          <w:sz w:val="30"/>
          <w:szCs w:val="24"/>
          <w:lang w:val="en-US" w:eastAsia="zh-CN"/>
        </w:rPr>
        <w:t>元，完成预算的 0.00 %</w:t>
      </w:r>
      <w:r>
        <w:rPr>
          <w:rFonts w:hint="eastAsia" w:ascii="仿宋_GB2312" w:hAnsi="仿宋_GB2312" w:eastAsia="仿宋_GB2312" w:cs="Times New Roman"/>
          <w:sz w:val="30"/>
          <w:szCs w:val="24"/>
          <w:lang w:val="en-US" w:eastAsia="zh-CN"/>
        </w:rPr>
        <w:t>；较上年持平 0.00 元，持平 0.00 %。主要原因是本年度未用一般公共预算列支“三公”经费。</w:t>
      </w:r>
      <w:r>
        <w:rPr>
          <w:rFonts w:hint="eastAsia" w:ascii="仿宋_GB2312" w:hAnsi="仿宋_GB2312" w:eastAsia="仿宋_GB2312" w:cs="Times New Roman"/>
          <w:sz w:val="30"/>
          <w:szCs w:val="24"/>
          <w:lang w:val="en-US" w:eastAsia="zh-CN"/>
        </w:rPr>
        <w:t>截至2022年12月31日，使用一般公共预算财政拨款开支运行维护费的公务用车保有量为 0 辆。</w:t>
      </w:r>
    </w:p>
    <w:p>
      <w:pPr>
        <w:spacing w:line="600" w:lineRule="exact"/>
        <w:ind w:firstLine="600"/>
        <w:rPr>
          <w:rFonts w:hint="eastAsia" w:ascii="仿宋_GB2312" w:hAnsi="仿宋_GB2312" w:eastAsia="仿宋_GB2312" w:cs="Times New Roman"/>
          <w:sz w:val="30"/>
          <w:szCs w:val="24"/>
          <w:lang w:val="en-US" w:eastAsia="zh-CN"/>
        </w:rPr>
      </w:pPr>
      <w:r>
        <w:rPr>
          <w:rFonts w:hint="eastAsia" w:ascii="仿宋_GB2312" w:hAnsi="仿宋_GB2312" w:eastAsia="仿宋_GB2312" w:cs="Times New Roman"/>
          <w:sz w:val="30"/>
          <w:szCs w:val="24"/>
          <w:lang w:val="en-US" w:eastAsia="zh-CN"/>
        </w:rPr>
        <w:t xml:space="preserve">公务用车购置费预算 0.00 </w:t>
      </w:r>
      <w:r>
        <w:rPr>
          <w:rFonts w:hint="eastAsia" w:ascii="仿宋_GB2312" w:hAnsi="仿宋_GB2312" w:eastAsia="仿宋_GB2312" w:cs="Times New Roman"/>
          <w:sz w:val="30"/>
          <w:szCs w:val="24"/>
          <w:lang w:val="en-US" w:eastAsia="zh-CN"/>
        </w:rPr>
        <w:t xml:space="preserve">元，支出决算 0.00 </w:t>
      </w:r>
      <w:r>
        <w:rPr>
          <w:rFonts w:hint="eastAsia" w:ascii="仿宋_GB2312" w:hAnsi="仿宋_GB2312" w:eastAsia="仿宋_GB2312" w:cs="Times New Roman"/>
          <w:sz w:val="30"/>
          <w:szCs w:val="24"/>
          <w:lang w:val="en-US" w:eastAsia="zh-CN"/>
        </w:rPr>
        <w:t xml:space="preserve">元，与预算相比增加（减少） 0.00 </w:t>
      </w:r>
      <w:r>
        <w:rPr>
          <w:rFonts w:hint="eastAsia" w:ascii="仿宋_GB2312" w:hAnsi="仿宋_GB2312" w:eastAsia="仿宋_GB2312" w:cs="Times New Roman"/>
          <w:sz w:val="30"/>
          <w:szCs w:val="24"/>
          <w:lang w:val="en-US" w:eastAsia="zh-CN"/>
        </w:rPr>
        <w:t>元，完成预算的 0.00 %</w:t>
      </w:r>
      <w:r>
        <w:rPr>
          <w:rFonts w:hint="eastAsia" w:ascii="仿宋_GB2312" w:hAnsi="仿宋_GB2312" w:eastAsia="仿宋_GB2312" w:cs="Times New Roman"/>
          <w:sz w:val="30"/>
          <w:szCs w:val="24"/>
          <w:lang w:val="en-US" w:eastAsia="zh-CN"/>
        </w:rPr>
        <w:t>；较上年持平 0.00 元，持平 0.00 %。主要原因是本年度未用一般公共预算列支“三公”经费</w:t>
      </w:r>
      <w:r>
        <w:rPr>
          <w:rFonts w:hint="eastAsia" w:ascii="仿宋_GB2312" w:hAnsi="仿宋_GB2312" w:eastAsia="仿宋_GB2312" w:cs="Times New Roman"/>
          <w:sz w:val="30"/>
          <w:szCs w:val="24"/>
          <w:lang w:val="en-US" w:eastAsia="zh-CN"/>
        </w:rPr>
        <w:t>。2022年购置公务用车 0 辆。</w:t>
      </w:r>
    </w:p>
    <w:p>
      <w:pPr>
        <w:spacing w:line="600" w:lineRule="exact"/>
        <w:ind w:firstLine="645"/>
        <w:rPr>
          <w:rFonts w:hint="eastAsia" w:ascii="仿宋_GB2312" w:hAnsi="仿宋_GB2312" w:eastAsia="仿宋_GB2312" w:cs="Times New Roman"/>
          <w:sz w:val="30"/>
          <w:szCs w:val="24"/>
          <w:lang w:val="en-US" w:eastAsia="zh-CN"/>
        </w:rPr>
      </w:pPr>
      <w:r>
        <w:rPr>
          <w:rFonts w:hint="eastAsia" w:ascii="仿宋_GB2312" w:hAnsi="仿宋_GB2312" w:eastAsia="仿宋_GB2312"/>
          <w:color w:val="auto"/>
          <w:sz w:val="30"/>
          <w:szCs w:val="24"/>
          <w:lang w:val="en-US"/>
        </w:rPr>
        <w:t>3.</w:t>
      </w:r>
      <w:r>
        <w:rPr>
          <w:rFonts w:hint="eastAsia" w:ascii="仿宋_GB2312" w:hAnsi="仿宋_GB2312" w:eastAsia="仿宋_GB2312" w:cs="Times New Roman"/>
          <w:sz w:val="30"/>
          <w:szCs w:val="24"/>
          <w:lang w:val="en-US" w:eastAsia="zh-CN"/>
        </w:rPr>
        <w:t>公务接待</w:t>
      </w:r>
      <w:r>
        <w:rPr>
          <w:rFonts w:hint="eastAsia" w:ascii="仿宋_GB2312" w:hAnsi="仿宋_GB2312" w:eastAsia="仿宋_GB2312"/>
          <w:color w:val="auto"/>
          <w:sz w:val="30"/>
          <w:szCs w:val="24"/>
          <w:lang w:val="en-US"/>
        </w:rPr>
        <w:t>费预</w:t>
      </w:r>
      <w:r>
        <w:rPr>
          <w:rFonts w:hint="eastAsia" w:ascii="仿宋_GB2312" w:hAnsi="仿宋_GB2312" w:eastAsia="仿宋_GB2312" w:cs="Times New Roman"/>
          <w:sz w:val="30"/>
          <w:szCs w:val="24"/>
          <w:lang w:val="en-US" w:eastAsia="zh-CN"/>
        </w:rPr>
        <w:t xml:space="preserve">算 0.00 </w:t>
      </w:r>
      <w:r>
        <w:rPr>
          <w:rFonts w:hint="eastAsia" w:ascii="仿宋_GB2312" w:hAnsi="仿宋_GB2312" w:eastAsia="仿宋_GB2312" w:cs="Times New Roman"/>
          <w:sz w:val="30"/>
          <w:szCs w:val="24"/>
          <w:lang w:val="en-US" w:eastAsia="zh-CN"/>
        </w:rPr>
        <w:t xml:space="preserve">元，支出决算 0.00 </w:t>
      </w:r>
      <w:r>
        <w:rPr>
          <w:rFonts w:hint="eastAsia" w:ascii="仿宋_GB2312" w:hAnsi="仿宋_GB2312" w:eastAsia="仿宋_GB2312" w:cs="Times New Roman"/>
          <w:sz w:val="30"/>
          <w:szCs w:val="24"/>
          <w:lang w:val="en-US" w:eastAsia="zh-CN"/>
        </w:rPr>
        <w:t xml:space="preserve">元，与预算相比增加（减少） 0.00 </w:t>
      </w:r>
      <w:r>
        <w:rPr>
          <w:rFonts w:hint="eastAsia" w:ascii="仿宋_GB2312" w:hAnsi="仿宋_GB2312" w:eastAsia="仿宋_GB2312" w:cs="Times New Roman"/>
          <w:sz w:val="30"/>
          <w:szCs w:val="24"/>
          <w:lang w:val="en-US" w:eastAsia="zh-CN"/>
        </w:rPr>
        <w:t>元，完成预算的 0.00 %</w:t>
      </w:r>
      <w:r>
        <w:rPr>
          <w:rFonts w:hint="eastAsia" w:ascii="仿宋_GB2312" w:hAnsi="仿宋_GB2312" w:eastAsia="仿宋_GB2312" w:cs="Times New Roman"/>
          <w:sz w:val="30"/>
          <w:szCs w:val="24"/>
          <w:lang w:val="en-US" w:eastAsia="zh-CN"/>
        </w:rPr>
        <w:t>；较上年持平0.00元，持平0.00%。主要原因是本年度未用一般公共预算列支“三公”经费。</w:t>
      </w:r>
      <w:r>
        <w:rPr>
          <w:rFonts w:hint="eastAsia" w:ascii="仿宋_GB2312" w:hAnsi="仿宋_GB2312" w:eastAsia="仿宋_GB2312" w:cs="Times New Roman"/>
          <w:sz w:val="30"/>
          <w:szCs w:val="24"/>
          <w:lang w:val="en-US" w:eastAsia="zh-CN"/>
        </w:rPr>
        <w:t xml:space="preserve">2022年本单位国内公务接待 0 </w:t>
      </w:r>
      <w:r>
        <w:rPr>
          <w:rFonts w:hint="eastAsia" w:ascii="仿宋_GB2312" w:hAnsi="仿宋_GB2312" w:eastAsia="仿宋_GB2312" w:cs="Times New Roman"/>
          <w:sz w:val="30"/>
          <w:szCs w:val="24"/>
          <w:lang w:val="en-US" w:eastAsia="zh-CN"/>
        </w:rPr>
        <w:t xml:space="preserve">批次， 0 </w:t>
      </w:r>
      <w:r>
        <w:rPr>
          <w:rFonts w:hint="eastAsia" w:ascii="仿宋_GB2312" w:hAnsi="仿宋_GB2312" w:eastAsia="仿宋_GB2312" w:cs="Times New Roman"/>
          <w:sz w:val="30"/>
          <w:szCs w:val="24"/>
          <w:lang w:val="en-US" w:eastAsia="zh-CN"/>
        </w:rPr>
        <w:t xml:space="preserve">人次；其中，外事接待 0 </w:t>
      </w:r>
      <w:r>
        <w:rPr>
          <w:rFonts w:hint="eastAsia" w:ascii="仿宋_GB2312" w:hAnsi="仿宋_GB2312" w:eastAsia="仿宋_GB2312" w:cs="Times New Roman"/>
          <w:sz w:val="30"/>
          <w:szCs w:val="24"/>
          <w:lang w:val="en-US" w:eastAsia="zh-CN"/>
        </w:rPr>
        <w:t xml:space="preserve">批次， 0 </w:t>
      </w:r>
      <w:r>
        <w:rPr>
          <w:rFonts w:hint="eastAsia" w:ascii="仿宋_GB2312" w:hAnsi="仿宋_GB2312" w:eastAsia="仿宋_GB2312" w:cs="Times New Roman"/>
          <w:sz w:val="30"/>
          <w:szCs w:val="24"/>
          <w:lang w:val="en-US" w:eastAsia="zh-CN"/>
        </w:rPr>
        <w:t>人次。</w:t>
      </w:r>
    </w:p>
    <w:p>
      <w:pPr>
        <w:pStyle w:val="3"/>
        <w:keepNext/>
        <w:keepLines/>
        <w:spacing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十、机关运行经费支出情况说明</w:t>
      </w:r>
    </w:p>
    <w:p>
      <w:pPr>
        <w:spacing w:line="580" w:lineRule="exact"/>
        <w:ind w:firstLine="600"/>
        <w:jc w:val="both"/>
        <w:rPr>
          <w:rFonts w:hint="eastAsia" w:ascii="仿宋_GB2312" w:hAnsi="仿宋_GB2312" w:eastAsia="仿宋_GB2312" w:cs="Times New Roman"/>
          <w:kern w:val="2"/>
          <w:sz w:val="30"/>
          <w:szCs w:val="24"/>
          <w:u w:val="single"/>
          <w:lang w:val="en-US" w:eastAsia="zh-CN"/>
        </w:rPr>
      </w:pPr>
      <w:r>
        <w:rPr>
          <w:rFonts w:hint="eastAsia" w:ascii="仿宋_GB2312" w:hAnsi="仿宋_GB2312" w:eastAsia="仿宋_GB2312" w:cs="Times New Roman"/>
          <w:kern w:val="2"/>
          <w:sz w:val="30"/>
          <w:szCs w:val="24"/>
          <w:lang w:val="en-US" w:eastAsia="zh-CN"/>
        </w:rPr>
        <w:t xml:space="preserve">机关运行经费是指行政单位和参照公务员法管理的事业单位使用一般公共预算财政拨款安排的基本支出中的日常公用经费支出，天津经济技术开发区财务中心2022年度机关运行经费决算数180481.00元，比2021年减少61687.67元，减少25.47%。主要原因是： </w:t>
      </w:r>
      <w:r>
        <w:rPr>
          <w:rFonts w:hint="eastAsia" w:ascii="仿宋_GB2312" w:hAnsi="仿宋_GB2312" w:eastAsia="仿宋_GB2312" w:cs="Times New Roman"/>
          <w:kern w:val="2"/>
          <w:sz w:val="30"/>
          <w:szCs w:val="24"/>
          <w:u w:val="single"/>
          <w:lang w:val="en-US" w:eastAsia="zh-CN"/>
        </w:rPr>
        <w:t>按</w:t>
      </w:r>
      <w:r>
        <w:rPr>
          <w:rFonts w:hint="eastAsia" w:ascii="仿宋_GB2312" w:hAnsi="仿宋_GB2312" w:eastAsia="仿宋_GB2312" w:cs="Times New Roman"/>
          <w:sz w:val="30"/>
          <w:szCs w:val="24"/>
          <w:lang w:val="en-US" w:eastAsia="zh-CN"/>
        </w:rPr>
        <w:t>照“真过紧日子精神”，在预算执行中压减经费支出。</w:t>
      </w:r>
    </w:p>
    <w:p>
      <w:pPr>
        <w:pStyle w:val="3"/>
        <w:keepNext/>
        <w:keepLines/>
        <w:spacing w:line="600" w:lineRule="exact"/>
        <w:ind w:firstLine="602"/>
        <w:rPr>
          <w:rFonts w:hint="eastAsia" w:ascii="黑体" w:hAnsi="黑体" w:eastAsia="黑体"/>
          <w:b/>
          <w:color w:val="auto"/>
          <w:sz w:val="30"/>
          <w:szCs w:val="24"/>
          <w:lang w:val="en-US"/>
        </w:rPr>
      </w:pPr>
      <w:r>
        <w:rPr>
          <w:rFonts w:hint="eastAsia" w:ascii="黑体" w:hAnsi="黑体" w:eastAsia="黑体"/>
          <w:b/>
          <w:color w:val="auto"/>
          <w:sz w:val="30"/>
          <w:szCs w:val="24"/>
          <w:lang w:val="en-US"/>
        </w:rPr>
        <w:t>十一、政府采购支出情况说明</w:t>
      </w:r>
    </w:p>
    <w:p>
      <w:pPr>
        <w:spacing w:line="580" w:lineRule="exact"/>
        <w:ind w:firstLine="600"/>
        <w:jc w:val="both"/>
        <w:rPr>
          <w:rFonts w:hint="eastAsia" w:ascii="仿宋_GB2312" w:hAnsi="仿宋_GB2312" w:eastAsia="仿宋_GB2312" w:cs="Times New Roman"/>
          <w:kern w:val="2"/>
          <w:sz w:val="30"/>
          <w:szCs w:val="24"/>
          <w:lang w:val="en-US" w:eastAsia="zh-CN"/>
        </w:rPr>
      </w:pPr>
      <w:r>
        <w:rPr>
          <w:rFonts w:hint="eastAsia" w:ascii="仿宋_GB2312" w:hAnsi="仿宋_GB2312" w:eastAsia="仿宋_GB2312" w:cs="Times New Roman"/>
          <w:kern w:val="2"/>
          <w:sz w:val="30"/>
          <w:szCs w:val="24"/>
          <w:lang w:val="en-US" w:eastAsia="zh-CN"/>
        </w:rPr>
        <w:t>天津经济技术开发区财务中心2022年政府采购支出总额132,156.00元，其中：政府采购货物支出132,156.00元、政府采购工程支出0.00元、政府采购服务支出0.00元。授予中小企业合同金额132,156.00元，占政府采购支出总额的100.00%，其中：授予小微企业合同金额132,156.00元，占政府采购支出总额的100.00%；货物采购授予中小企业合同金额占货物支出</w:t>
      </w:r>
      <w:r>
        <w:rPr>
          <w:rFonts w:hint="eastAsia" w:ascii="仿宋_GB2312" w:hAnsi="仿宋_GB2312" w:eastAsia="仿宋_GB2312" w:cs="Times New Roman"/>
          <w:sz w:val="30"/>
          <w:szCs w:val="24"/>
          <w:lang w:val="en-US" w:eastAsia="zh-CN"/>
        </w:rPr>
        <w:t>金额的100 %，工程采购授予中小企业合同金额占工程支出金额的0.00%，服务采购授予中小企业合同金额占服务支出金额的0.00%。</w:t>
      </w:r>
    </w:p>
    <w:p>
      <w:pPr>
        <w:spacing w:line="600" w:lineRule="exact"/>
        <w:ind w:firstLine="600"/>
        <w:rPr>
          <w:rFonts w:hint="eastAsia" w:ascii="楷体" w:hAnsi="楷体" w:eastAsia="楷体"/>
          <w:color w:val="auto"/>
          <w:sz w:val="30"/>
          <w:szCs w:val="24"/>
          <w:lang w:val="en-US"/>
        </w:rPr>
      </w:pPr>
      <w:r>
        <w:rPr>
          <w:rFonts w:hint="eastAsia" w:ascii="黑体" w:hAnsi="黑体" w:eastAsia="黑体"/>
          <w:b/>
          <w:color w:val="auto"/>
          <w:sz w:val="30"/>
          <w:szCs w:val="24"/>
          <w:lang w:val="zh-CN"/>
        </w:rPr>
        <w:t>十二、</w:t>
      </w:r>
      <w:r>
        <w:rPr>
          <w:rFonts w:hint="eastAsia" w:ascii="黑体" w:hAnsi="黑体" w:eastAsia="黑体"/>
          <w:b/>
          <w:color w:val="auto"/>
          <w:sz w:val="30"/>
          <w:szCs w:val="24"/>
          <w:lang w:val="en-US"/>
        </w:rPr>
        <w:t>国有资产占有使用情况说明</w:t>
      </w:r>
    </w:p>
    <w:p>
      <w:pPr>
        <w:spacing w:line="580" w:lineRule="exact"/>
        <w:ind w:firstLine="600"/>
        <w:jc w:val="both"/>
        <w:rPr>
          <w:rFonts w:hint="eastAsia" w:ascii="仿宋_GB2312" w:hAnsi="仿宋_GB2312" w:eastAsia="仿宋_GB2312" w:cs="Times New Roman"/>
          <w:kern w:val="2"/>
          <w:sz w:val="30"/>
          <w:szCs w:val="24"/>
          <w:lang w:val="en-US" w:eastAsia="zh-CN"/>
        </w:rPr>
      </w:pPr>
      <w:r>
        <w:rPr>
          <w:rFonts w:hint="eastAsia" w:ascii="仿宋_GB2312" w:hAnsi="仿宋_GB2312" w:eastAsia="仿宋_GB2312" w:cs="Times New Roman"/>
          <w:kern w:val="2"/>
          <w:sz w:val="30"/>
          <w:szCs w:val="24"/>
          <w:lang w:val="en-US" w:eastAsia="zh-CN"/>
        </w:rPr>
        <w:t>天津市经济技术开发区财务中心2022年度无国有资产占有使用情况。</w:t>
      </w:r>
    </w:p>
    <w:p>
      <w:pPr>
        <w:spacing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十三、</w:t>
      </w:r>
      <w:r>
        <w:rPr>
          <w:rFonts w:hint="eastAsia" w:ascii="黑体" w:hAnsi="黑体" w:eastAsia="黑体"/>
          <w:b/>
          <w:color w:val="auto"/>
          <w:sz w:val="30"/>
          <w:szCs w:val="24"/>
          <w:lang w:val="en-US"/>
        </w:rPr>
        <w:t>预算绩效情况说明</w:t>
      </w:r>
    </w:p>
    <w:p>
      <w:pPr>
        <w:spacing w:line="560" w:lineRule="exact"/>
        <w:ind w:firstLine="600"/>
        <w:rPr>
          <w:rFonts w:hint="eastAsia" w:ascii="仿宋_GB2312" w:hAnsi="仿宋_GB2312" w:eastAsia="仿宋_GB2312"/>
          <w:sz w:val="30"/>
          <w:szCs w:val="24"/>
        </w:rPr>
      </w:pPr>
      <w:r>
        <w:rPr>
          <w:rFonts w:hint="eastAsia" w:ascii="仿宋_GB2312" w:hAnsi="仿宋_GB2312" w:eastAsia="仿宋_GB2312"/>
          <w:sz w:val="30"/>
          <w:szCs w:val="24"/>
          <w:lang w:val="en-US" w:eastAsia="zh-CN"/>
        </w:rPr>
        <w:t>天津经济技术开发区财务中心</w:t>
      </w:r>
      <w:r>
        <w:rPr>
          <w:rFonts w:hint="eastAsia" w:ascii="仿宋_GB2312" w:hAnsi="仿宋_GB2312" w:eastAsia="仿宋_GB2312"/>
          <w:sz w:val="30"/>
          <w:szCs w:val="24"/>
        </w:rPr>
        <w:t>2022年度已对</w:t>
      </w:r>
      <w:r>
        <w:rPr>
          <w:rFonts w:hint="eastAsia" w:ascii="仿宋_GB2312" w:hAnsi="仿宋_GB2312" w:eastAsia="仿宋_GB2312"/>
          <w:sz w:val="30"/>
          <w:szCs w:val="24"/>
          <w:u w:val="single"/>
          <w:lang w:val="en-US" w:eastAsia="zh-CN"/>
        </w:rPr>
        <w:t xml:space="preserve"> 2 </w:t>
      </w:r>
      <w:r>
        <w:rPr>
          <w:rFonts w:hint="eastAsia" w:ascii="仿宋_GB2312" w:hAnsi="仿宋_GB2312" w:eastAsia="仿宋_GB2312"/>
          <w:sz w:val="30"/>
          <w:szCs w:val="24"/>
        </w:rPr>
        <w:t>个项目开展绩效自评，涉及金额</w:t>
      </w:r>
      <w:bookmarkStart w:id="4" w:name="_GoBack"/>
      <w:r>
        <w:rPr>
          <w:rFonts w:hint="eastAsia" w:ascii="仿宋_GB2312" w:hAnsi="仿宋_GB2312" w:eastAsia="仿宋_GB2312" w:cs="Times New Roman"/>
          <w:sz w:val="30"/>
          <w:szCs w:val="24"/>
          <w:lang w:val="en-US" w:eastAsia="zh-CN"/>
        </w:rPr>
        <w:t>171710.78元，自</w:t>
      </w:r>
      <w:bookmarkEnd w:id="4"/>
      <w:r>
        <w:rPr>
          <w:rFonts w:hint="eastAsia" w:ascii="仿宋_GB2312" w:hAnsi="仿宋_GB2312" w:eastAsia="仿宋_GB2312"/>
          <w:sz w:val="30"/>
          <w:szCs w:val="24"/>
        </w:rPr>
        <w:t>评结果已随部门决算一并公开。</w:t>
      </w:r>
    </w:p>
    <w:p>
      <w:pPr>
        <w:spacing w:line="600" w:lineRule="exact"/>
        <w:ind w:firstLine="600"/>
        <w:rPr>
          <w:rFonts w:hint="eastAsia" w:ascii="黑体" w:hAnsi="黑体" w:eastAsia="黑体"/>
          <w:b/>
          <w:color w:val="auto"/>
          <w:sz w:val="30"/>
          <w:szCs w:val="24"/>
          <w:lang w:val="zh-CN"/>
        </w:rPr>
      </w:pPr>
    </w:p>
    <w:p>
      <w:pPr>
        <w:spacing w:line="600" w:lineRule="exact"/>
        <w:ind w:firstLine="600"/>
        <w:rPr>
          <w:rFonts w:hint="eastAsia" w:ascii="黑体" w:hAnsi="黑体" w:eastAsia="黑体"/>
          <w:b/>
          <w:color w:val="auto"/>
          <w:sz w:val="30"/>
          <w:szCs w:val="24"/>
          <w:lang w:val="en-US"/>
        </w:rPr>
      </w:pPr>
      <w:r>
        <w:rPr>
          <w:rFonts w:hint="eastAsia" w:ascii="黑体" w:hAnsi="黑体" w:eastAsia="黑体"/>
          <w:b/>
          <w:color w:val="auto"/>
          <w:sz w:val="30"/>
          <w:szCs w:val="24"/>
          <w:lang w:val="zh-CN"/>
        </w:rPr>
        <w:t>十四、</w:t>
      </w:r>
      <w:r>
        <w:rPr>
          <w:rFonts w:hint="eastAsia" w:ascii="黑体" w:hAnsi="黑体" w:eastAsia="黑体"/>
          <w:b/>
          <w:color w:val="auto"/>
          <w:sz w:val="30"/>
          <w:szCs w:val="24"/>
          <w:lang w:val="en-US"/>
        </w:rPr>
        <w:t>教育、医疗卫生、社会保障和就业、住房保障、涉农补贴等民生支出情况说明</w:t>
      </w:r>
    </w:p>
    <w:p>
      <w:pPr>
        <w:spacing w:line="600" w:lineRule="exact"/>
        <w:ind w:firstLine="600"/>
        <w:rPr>
          <w:rFonts w:hint="eastAsia" w:ascii="仿宋_GB2312" w:hAnsi="仿宋_GB2312" w:eastAsia="仿宋_GB2312" w:cs="Times New Roman"/>
          <w:color w:val="auto"/>
          <w:sz w:val="30"/>
          <w:szCs w:val="24"/>
          <w:lang w:val="en-US"/>
        </w:rPr>
      </w:pPr>
      <w:r>
        <w:rPr>
          <w:rFonts w:hint="eastAsia" w:ascii="仿宋_GB2312" w:hAnsi="仿宋_GB2312" w:eastAsia="仿宋_GB2312" w:cs="Times New Roman"/>
          <w:color w:val="auto"/>
          <w:sz w:val="30"/>
          <w:szCs w:val="24"/>
          <w:lang w:val="en-US"/>
        </w:rPr>
        <w:t>天津市经济技术开发区财务中心202</w:t>
      </w:r>
      <w:r>
        <w:rPr>
          <w:rFonts w:hint="eastAsia" w:ascii="仿宋_GB2312" w:hAnsi="仿宋_GB2312" w:eastAsia="仿宋_GB2312" w:cs="Times New Roman"/>
          <w:color w:val="auto"/>
          <w:sz w:val="30"/>
          <w:szCs w:val="24"/>
          <w:lang w:val="en-US" w:eastAsia="zh-CN"/>
        </w:rPr>
        <w:t>2</w:t>
      </w:r>
      <w:r>
        <w:rPr>
          <w:rFonts w:hint="eastAsia" w:ascii="仿宋_GB2312" w:hAnsi="仿宋_GB2312" w:eastAsia="仿宋_GB2312" w:cs="Times New Roman"/>
          <w:color w:val="auto"/>
          <w:sz w:val="30"/>
          <w:szCs w:val="24"/>
          <w:lang w:val="en-US"/>
        </w:rPr>
        <w:t>年度无教育、医疗卫生、社会保障和就业、住房保障、涉农补贴等民生支出情况。</w:t>
      </w:r>
    </w:p>
    <w:p>
      <w:pPr>
        <w:rPr>
          <w:rFonts w:hint="eastAsia" w:ascii="仿宋_GB2312" w:hAnsi="仿宋_GB2312" w:eastAsia="仿宋_GB2312"/>
          <w:b/>
          <w:color w:val="000000"/>
          <w:sz w:val="30"/>
          <w:szCs w:val="24"/>
          <w:lang w:val="en-US"/>
        </w:rPr>
      </w:pPr>
      <w:r>
        <w:rPr>
          <w:rFonts w:hint="eastAsia" w:ascii="仿宋_GB2312" w:hAnsi="仿宋_GB2312" w:eastAsia="仿宋_GB2312"/>
          <w:b/>
          <w:color w:val="000000"/>
          <w:sz w:val="30"/>
          <w:szCs w:val="24"/>
          <w:lang w:val="en-US"/>
        </w:rPr>
        <w:br w:type="page"/>
      </w:r>
    </w:p>
    <w:p>
      <w:pPr>
        <w:pStyle w:val="2"/>
        <w:keepNext/>
        <w:keepLines/>
        <w:spacing w:line="600" w:lineRule="exact"/>
        <w:jc w:val="center"/>
        <w:rPr>
          <w:rFonts w:hint="eastAsia" w:ascii="方正小标宋简体" w:hAnsi="方正小标宋简体" w:eastAsia="方正小标宋简体"/>
          <w:color w:val="auto"/>
          <w:kern w:val="44"/>
          <w:sz w:val="44"/>
          <w:szCs w:val="24"/>
          <w:lang w:val="en-US"/>
        </w:rPr>
      </w:pPr>
      <w:r>
        <w:rPr>
          <w:rFonts w:hint="eastAsia" w:ascii="方正小标宋简体" w:hAnsi="方正小标宋简体" w:eastAsia="方正小标宋简体"/>
          <w:color w:val="auto"/>
          <w:kern w:val="44"/>
          <w:sz w:val="44"/>
          <w:szCs w:val="24"/>
          <w:lang w:val="en-US"/>
        </w:rPr>
        <w:t>第四部分  名词解释</w:t>
      </w:r>
    </w:p>
    <w:p>
      <w:pPr>
        <w:spacing w:line="600" w:lineRule="exact"/>
        <w:ind w:firstLine="600"/>
        <w:rPr>
          <w:rFonts w:hint="eastAsia" w:ascii="仿宋_GB2312" w:hAnsi="仿宋_GB2312" w:eastAsia="仿宋_GB2312"/>
          <w:color w:val="auto"/>
          <w:sz w:val="30"/>
          <w:szCs w:val="24"/>
          <w:lang w:val="en-US"/>
        </w:rPr>
      </w:pPr>
    </w:p>
    <w:p>
      <w:pPr>
        <w:spacing w:line="600" w:lineRule="exact"/>
        <w:ind w:firstLine="600"/>
        <w:jc w:val="both"/>
        <w:rPr>
          <w:rFonts w:hint="eastAsia" w:ascii="仿宋_GB2312" w:hAnsi="仿宋_GB2312" w:eastAsia="仿宋_GB2312"/>
          <w:color w:val="auto"/>
          <w:sz w:val="30"/>
          <w:szCs w:val="24"/>
          <w:lang w:val="en-US"/>
        </w:rPr>
      </w:pPr>
      <w:r>
        <w:rPr>
          <w:rFonts w:hint="eastAsia" w:ascii="宋体" w:hAnsi="宋体" w:eastAsia="宋体"/>
          <w:color w:val="auto"/>
          <w:sz w:val="24"/>
          <w:szCs w:val="24"/>
          <w:lang w:val="en-US"/>
        </w:rPr>
        <w:t>1.</w:t>
      </w:r>
      <w:r>
        <w:rPr>
          <w:rFonts w:hint="eastAsia" w:ascii="仿宋_GB2312" w:hAnsi="仿宋_GB2312" w:eastAsia="仿宋_GB2312"/>
          <w:color w:val="auto"/>
          <w:sz w:val="30"/>
          <w:szCs w:val="24"/>
          <w:lang w:val="en-US"/>
        </w:rPr>
        <w:t>部门决算。是指</w:t>
      </w:r>
      <w:r>
        <w:rPr>
          <w:rFonts w:hint="eastAsia" w:ascii="仿宋_GB2312" w:hAnsi="仿宋_GB2312" w:eastAsia="仿宋_GB2312" w:cs="Times New Roman"/>
          <w:color w:val="auto"/>
          <w:sz w:val="30"/>
          <w:szCs w:val="24"/>
          <w:lang w:val="en-US"/>
        </w:rPr>
        <w:t>各部门依据国家有关法律法规规定及其履行职能情况编制，反映部门所有预算收支和结余执行结果及绩效等情况的综合性年度报告，是改进</w:t>
      </w:r>
      <w:r>
        <w:rPr>
          <w:rFonts w:hint="eastAsia" w:ascii="仿宋_GB2312" w:hAnsi="仿宋_GB2312" w:eastAsia="仿宋_GB2312"/>
          <w:color w:val="auto"/>
          <w:sz w:val="30"/>
          <w:szCs w:val="24"/>
          <w:lang w:val="en-US"/>
        </w:rPr>
        <w:t>部门预算执行以及编制后续年度部门预算的参考和依据。</w:t>
      </w:r>
    </w:p>
    <w:p>
      <w:pPr>
        <w:spacing w:line="600" w:lineRule="exact"/>
        <w:ind w:firstLine="600"/>
        <w:jc w:val="both"/>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2.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spacing w:line="600" w:lineRule="exact"/>
        <w:ind w:firstLine="600"/>
        <w:jc w:val="both"/>
        <w:rPr>
          <w:rFonts w:hint="eastAsia" w:ascii="仿宋_GB2312" w:hAnsi="仿宋_GB2312" w:eastAsia="仿宋_GB2312"/>
          <w:color w:val="auto"/>
          <w:sz w:val="30"/>
          <w:szCs w:val="24"/>
          <w:lang w:val="en-US"/>
        </w:rPr>
      </w:pPr>
      <w:r>
        <w:rPr>
          <w:rFonts w:hint="eastAsia" w:ascii="仿宋_GB2312" w:hAnsi="仿宋_GB2312" w:eastAsia="仿宋_GB2312"/>
          <w:color w:val="auto"/>
          <w:sz w:val="30"/>
          <w:szCs w:val="24"/>
          <w:lang w:val="en-US"/>
        </w:rPr>
        <w:t>3.“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p>
      <w:pPr>
        <w:spacing w:line="600" w:lineRule="exact"/>
        <w:ind w:firstLine="600"/>
        <w:rPr>
          <w:rFonts w:hint="eastAsia" w:ascii="楷体" w:hAnsi="楷体" w:eastAsia="楷体"/>
          <w:color w:val="auto"/>
          <w:sz w:val="30"/>
          <w:szCs w:val="24"/>
          <w:lang w:val="en-US"/>
        </w:rPr>
      </w:pPr>
    </w:p>
    <w:sectPr>
      <w:footerReference r:id="rId3" w:type="default"/>
      <w:pgSz w:w="12240" w:h="15840"/>
      <w:pgMar w:top="1440" w:right="1800" w:bottom="1440" w:left="1800" w:header="720" w:footer="720" w:gutter="0"/>
      <w:lnNumType w:countBy="0" w:distance="36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3"/>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jZGI1ZmRiY2NkNTI2ZjMxOTc1YjM0NGQyNDUzNjAifQ=="/>
  </w:docVars>
  <w:rsids>
    <w:rsidRoot w:val="00172A27"/>
    <w:rsid w:val="0C304633"/>
    <w:rsid w:val="31355F07"/>
    <w:rsid w:val="37224DB1"/>
    <w:rsid w:val="3D031DB0"/>
    <w:rsid w:val="3DAD796E"/>
    <w:rsid w:val="512E2A0F"/>
    <w:rsid w:val="5CB3435E"/>
    <w:rsid w:val="632458A3"/>
    <w:rsid w:val="747E36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semiHidden="0" w:name="Normal"/>
    <w:lsdException w:qFormat="1" w:uiPriority="99" w:semiHidden="0" w:name="heading 1"/>
    <w:lsdException w:qFormat="1"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qFormat="1" w:uiPriority="0"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iPriority="0"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2">
    <w:name w:val="heading 1"/>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2"/>
    <w:unhideWhenUsed/>
    <w:qFormat/>
    <w:uiPriority w:val="99"/>
    <w:pPr>
      <w:widowControl w:val="0"/>
      <w:autoSpaceDE w:val="0"/>
      <w:autoSpaceDN w:val="0"/>
      <w:adjustRightInd w:val="0"/>
    </w:pPr>
    <w:rPr>
      <w:rFonts w:hint="default" w:ascii="Times New Roman" w:hAnsi="Times New Roman" w:eastAsia="宋体" w:cs="Times New Roman"/>
      <w:sz w:val="24"/>
      <w:szCs w:val="24"/>
    </w:rPr>
  </w:style>
  <w:style w:type="character" w:default="1" w:styleId="7">
    <w:name w:val="Default Paragraph Font"/>
    <w:unhideWhenUsed/>
    <w:qFormat/>
    <w:uiPriority w:val="99"/>
    <w:rPr>
      <w:rFonts w:hint="default"/>
      <w:sz w:val="24"/>
      <w:szCs w:val="24"/>
    </w:rPr>
  </w:style>
  <w:style w:type="table" w:default="1" w:styleId="6">
    <w:name w:val="Normal Table"/>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spacing w:line="240" w:lineRule="atLeast"/>
    </w:pPr>
    <w:rPr>
      <w:rFonts w:hint="default"/>
      <w:sz w:val="18"/>
      <w:szCs w:val="24"/>
    </w:rPr>
  </w:style>
  <w:style w:type="paragraph" w:styleId="5">
    <w:name w:val="header"/>
    <w:basedOn w:val="1"/>
    <w:unhideWhenUsed/>
    <w:qFormat/>
    <w:uiPriority w:val="0"/>
    <w:pPr>
      <w:pBdr>
        <w:bottom w:val="single" w:color="auto" w:sz="6" w:space="1"/>
      </w:pBdr>
      <w:tabs>
        <w:tab w:val="center" w:pos="4153"/>
        <w:tab w:val="right" w:pos="8306"/>
      </w:tabs>
      <w:snapToGrid w:val="0"/>
      <w:spacing w:line="240" w:lineRule="atLeast"/>
      <w:jc w:val="center"/>
    </w:pPr>
    <w:rPr>
      <w:rFonts w:hint="default"/>
      <w:sz w:val="18"/>
      <w:szCs w:val="24"/>
    </w:rPr>
  </w:style>
  <w:style w:type="character" w:styleId="8">
    <w:name w:val="page number"/>
    <w:unhideWhenUsed/>
    <w:qFormat/>
    <w:uiPriority w:val="0"/>
    <w:rPr>
      <w:rFonts w:hint="default"/>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Office_12.1.0.15374_F1E327BC-269C-435d-A152-05C5408002CA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2023-08-31T01:15:00Z</dcterms:created>
  <dc:creator>DELL</dc:creator>
  <cp:lastModifiedBy>DELL</cp:lastModifiedBy>
  <cp:lastPrinted>2023-09-25T06:38:00Z</cp:lastPrinted>
  <dcterms:modified xsi:type="dcterms:W3CDTF">2023-09-26T01:11:20Z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BF6111A8533B4E7396DF246B058FC354_13</vt:lpwstr>
  </property>
</Properties>
</file>