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中共天津经济技术开发区委员会办公室（天津经济技术开发区管理委员</w:t>
      </w:r>
      <w:r>
        <w:rPr>
          <w:rFonts w:hint="eastAsia" w:ascii="Times New Roman" w:hAnsi="Times New Roman" w:eastAsia="方正小标宋简体" w:cs="方正小标宋简体"/>
          <w:kern w:val="0"/>
          <w:sz w:val="48"/>
          <w:szCs w:val="48"/>
          <w:highlight w:val="none"/>
          <w:lang w:val="zh-CN"/>
        </w:rPr>
        <w:br w:type="textWrapping"/>
      </w:r>
      <w:r>
        <w:rPr>
          <w:rFonts w:hint="eastAsia" w:ascii="Times New Roman" w:hAnsi="Times New Roman" w:eastAsia="方正小标宋简体" w:cs="方正小标宋简体"/>
          <w:kern w:val="0"/>
          <w:sz w:val="48"/>
          <w:szCs w:val="48"/>
          <w:highlight w:val="none"/>
          <w:lang w:val="zh-CN"/>
        </w:rPr>
        <w:t>会办公室）2023年度部门决算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（一）负责党委、管委会日常综合协调和服务保障工作。</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（二）组织协调经开区有关部门开展人大建议、政协提案的办理工作。</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（三）负责经开区外事工作。</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（四）负责经开区政法办公室日常工作。</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（五）负责经开区信访维稳工作。</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（六）负责经开区法制、司法行政工作。</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（七）负责经开区网络安全和信息化工作。</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（八）负责经开区新闻宣传工作。</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（九）负责党委、管委会，党委办公室（管委会办公室）公文组织起草、审修、日常文件机要流转、归档工作。</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（十）统筹负责党委、管委会机关保密及密码管理工作。</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（十一）负责党委、管委会重要文稿组织起草、审修，重要信息编辑、审核和报送工作。</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（十二）督促检查党委、管委会各部门、各单位对党委、管委会决定事项、重点工作、重点任务的贯彻落实情况，及时上报党委、管委会。</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（十三）负责党委、管委会各类会议、大型综合性活动的组织协调实施。</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（十四）负责指导和监督党委、管委会各部门开展政务公开工作。</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（十五）负责本领域范围内安全生产管理工作。</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（十六）贯彻落实本部门全面从严治党主体责任，严格落实基层党建工作任务，发挥党组织战斗堡垒作用和党员先锋模范作用。</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（十七）承办党委、管委会交办的其他工作。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共天津经济技术开发区委员会办公室（天津经济技术开发区管理委员会办公室）内设11个职能科室。纳入中共天津经济技术开发区委员会办公室（天津经济技术开发区管理委员会办公室）2023年度部门决算编制范围的单位包括：中共天津经济技术开发区委员会办公室（天津经济技术开发区管理委员会办公室）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中共天津经济技术开发区委员会办公室（天津经济技术开发区管理委员会办公室）2022年度国有资本经营预算财政拨款收入支出决算表为空表。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中共天津经济技术开发区委员会办公室（天津经济技术开发区管理委员会办公室）2023年度收入、支出决算总计</w:t>
      </w:r>
      <w:r>
        <w:rPr>
          <w:rFonts w:hint="eastAsia" w:ascii="Times New Roman" w:hAnsi="Times New Roman" w:eastAsia="仿宋_GB2312" w:cs="仿宋_GB2312"/>
          <w:sz w:val="30"/>
          <w:szCs w:val="30"/>
          <w:highlight w:val="none"/>
          <w:lang w:eastAsia="zh-CN"/>
        </w:rPr>
        <w:t>396,171,609.75元，与2022年度相比，收、支总计各减少52,396,224.43元，下降11.68%，</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：主要涉及专项债项目，该项目按工作进度付款，主要工作已于上一年度完成，故收、支总计变动较大。</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中共天津经济技术开发区委员会办公室（天津经济技术开发区管理委员会办公室）</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396,171,609.75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减少52,396,224.43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主要涉及专项债项目，该项目按工作进度付款，主要工作已于上一年度完成，故收、支总计</w:t>
      </w:r>
      <w:r>
        <w:rPr>
          <w:rFonts w:hint="eastAsia" w:ascii="Times New Roman" w:hAnsi="Times New Roman" w:eastAsia="仿宋_GB2312" w:cs="仿宋_GB2312"/>
          <w:sz w:val="30"/>
          <w:szCs w:val="30"/>
          <w:highlight w:val="none"/>
          <w:lang w:eastAsia="zh-CN"/>
        </w:rPr>
        <w:t>变动较大</w:t>
      </w:r>
      <w:r>
        <w:rPr>
          <w:rFonts w:hint="eastAsia" w:ascii="Times New Roman" w:hAnsi="Times New Roman" w:eastAsia="仿宋_GB2312" w:cs="仿宋_GB2312"/>
          <w:kern w:val="0"/>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376,171,609.75</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94.95</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20,000,000.00元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5.05%。</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中共天津经济技术开发区委员会办公室（天津经济技术开发区管理委员会办公室）</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396,171,609.75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52,396,224.43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主要涉及专项债项目，该项目按工作进度付款，主要工作已于上一年度完成，故收、支总计</w:t>
      </w:r>
      <w:r>
        <w:rPr>
          <w:rFonts w:hint="eastAsia" w:ascii="Times New Roman" w:hAnsi="Times New Roman" w:eastAsia="仿宋_GB2312" w:cs="仿宋_GB2312"/>
          <w:sz w:val="30"/>
          <w:szCs w:val="30"/>
          <w:highlight w:val="none"/>
          <w:lang w:eastAsia="zh-CN"/>
        </w:rPr>
        <w:t>变动较大</w:t>
      </w:r>
      <w:r>
        <w:rPr>
          <w:rFonts w:hint="eastAsia" w:ascii="Times New Roman" w:hAnsi="Times New Roman" w:eastAsia="仿宋_GB2312" w:cs="仿宋_GB2312"/>
          <w:kern w:val="0"/>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32,466,205.16元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8.19</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363,705,404.59元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占91.81%。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中共天津经济技术开发区委员会办公室（天津经济技术开发区管理委员会办公室）</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396,171,609.75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52,396,224.43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11.68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主要涉及专项债项目，该项目按工作进度付款，主要工作已于上一年度完成，故收、支总计变动较大。</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中共天津经济技术开发区委员会办公室（天津经济技术开发区管理委员会办公室）2023年度部门决算一般公共预算财政拨款支出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计376,171,609.75元，占本年支出合计的94.95%，与2022年度相比，一般公共预算财政拨款支出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76,803,775.57元，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25.66%，</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：疫情结束，各项工作正常开展，一般公共预算财政拨款支出同比上年度有所增加。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376,171,609.75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一般公共服务支出302</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974</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995.54元，占80.54%；公共安全支出67</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357</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798.58元，占17.91%；科学技术支出4</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283</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334.52元，占1.14%；城乡社区支出1</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555</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481.11元，占0.41%。</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425,184,300.00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376,171,609.75</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88.47%</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 一般公共服务支出（类）政府办公厅（室）及相关机构事务（款）行政运行（项）年初预算为36</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334</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300</w:t>
      </w:r>
      <w:r>
        <w:rPr>
          <w:rFonts w:hint="default"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 32</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466</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205.16元，完成年初预算的 89.35 %，决算数小于年初预算数的主要原因是机构改革，相应费用变动。</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 一般公共服务支出（类）政府办公厅（室）及相关机构事务（款）一般行政管理事务（项）年初预算为283</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030</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default"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元，支出决算为270</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508</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790.38元，完成年初预算的 95.58%，决算数小于年初预算数的主要原因是我办年底调整相关经费，对预算予以核减，核减后支出率有所提升。</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3.公共安全支出（类）公安（款）一般行政管理事务（项）年初预算为 98</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530</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default"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元，支出决算为67</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357</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798.58元，完成年初预算的68.36%，决算数小于年初预算数的主要原因是该专项下半年已对项目情况以及预算予以核减，核减后归还2</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900余万元额度，支出率较高。</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4.科学技术支出（类）技术研究与开发（款）其他技术研究与开发支出（项）年初预算为4</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290</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default"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元，支出决算为4</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283</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334.52元，完成年初预算的99.84%，决算数小于年初预算数的主要原因是预算按整数下达，数额已接近100%；</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5.城乡社区支出（类）城乡社区公共设施（款）其他城乡社区公共设施支出（项）年初预算为3</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default"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 1</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555</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481.11元，完成年初预算的 51.85%，决算数小于年初预算数的主要原因是该项目以竣工报告为基础付款，且项目金额予以核减，故决算数较低。</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中共天津经济技术开发区委员会办公室（天津经济技术开发区管理委员会办公室）</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32,466,205.16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2,998,580.93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机构改革，相应费用变动。</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31,779,735.01</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基本工资、津贴补贴、机关事业单位基本养老保险缴费、职业年金缴费、 职工基本医疗保险缴费、 其他社会保障缴费、住房公积金。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686,470.15</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办公费、印刷费、手续费、水费、邮电费、差旅费、维修(护)费、培训费、委托业务费、其他交通费用、其他商品和服务支出。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58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中共天津经济技术开发区委员会办公室（天津经济技术开发区管理委员会办公室）</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20,000,000.00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20,000,000.00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129,200,000.00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86.6%</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该部分为专项债项目，该项目按工作进度付款，主要工作已于上一年度完成，故同比上年度变动较大。</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中共天津经济技术开发区委员会办公室（天津经济技术开发区管理委员会办公室）2023年度无国有资本经营预算财政拨款收入、支出和结转结余。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1,700,000.00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1,612,739.89</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87,260.11</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94.87</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518,517.85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24.33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本年度调整我办三公预算，调减8万元额度，调整后支付率较高</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本年度按要求压减并控制三公经费。</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1,500,000.00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1,575,659.89</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Times New Roman"/>
          <w:kern w:val="0"/>
          <w:sz w:val="30"/>
          <w:szCs w:val="30"/>
          <w:highlight w:val="none"/>
          <w:lang w:eastAsia="zh-CN"/>
        </w:rPr>
        <w:t>75,659.89</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105.04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546,237.85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25.74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大于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本年度从公务接待费中调整8万元至公务用车购置费，故公务用车购置及运行维护费支出决算数大于年初预算数</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本年度按要求压缩并控制公务用车购置及运行维护费。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1,500,000.00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1,379,948.39</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120,051.61</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92.0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741,949.35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34.97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本年度调减12万元公务用车运行维护费至公车购置费，故支出比预算差12余万元。</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w:t>
      </w:r>
      <w:bookmarkStart w:id="0" w:name="_GoBack"/>
      <w:bookmarkEnd w:id="0"/>
      <w:r>
        <w:rPr>
          <w:rFonts w:hint="eastAsia" w:ascii="Times New Roman" w:hAnsi="Times New Roman" w:eastAsia="仿宋_GB2312" w:cs="仿宋_GB2312"/>
          <w:sz w:val="30"/>
          <w:szCs w:val="30"/>
          <w:highlight w:val="none"/>
          <w:lang w:eastAsia="zh-CN"/>
        </w:rPr>
        <w:t>按要求压缩并控制公务用车运行维护费。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80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195,711.50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Times New Roman"/>
          <w:kern w:val="0"/>
          <w:sz w:val="30"/>
          <w:szCs w:val="30"/>
          <w:highlight w:val="none"/>
          <w:lang w:eastAsia="zh-CN"/>
        </w:rPr>
        <w:t>195,711.50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195,711.50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大于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本年度年初尚未申请公车购置，下半年确定公车指标后，从公务用车运行维护费中调减12万元、从公务接待费中调减8万元予以采购公务用车，调整后预算20万元</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上年度未采购公务用车，本年度采购1辆公务用车，故本年度新增公车购置经费预算。</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200,000.00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37,080.00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162,920.00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18.54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27,720.00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296.15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本年度下半年调减公务接待费16万元预算，故支付率相对较高</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疫情结束，部分接待活动正常开展，故公务接待费有所提高。</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542</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6286</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53</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495</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中共天津经济技术开发区委员会办公室（天津经济技术开发区管理委员会办公室）</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686,470.15</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328,830.85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32.39</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机构改革，相应预算有所调整，同比上年有所降低。</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中共天津经济技术开发区委员会办公室（天津经济技术开发区管理委员会办公室）</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198,837,494.78</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4,671,755.00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4,661,528.55</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189,504,211.23</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187,985,857.93</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94.54%</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152,012,216.27</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76.45%</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94.27</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中共天津经济技术开发区委员会办公室（天津经济技术开发区管理委员会办公室）</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80</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3</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15</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39</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4</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18</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为事业单位核心工作业务用车与专业用车。</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14</w:t>
      </w:r>
      <w:r>
        <w:rPr>
          <w:rFonts w:hint="eastAsia" w:ascii="Times New Roman" w:hAnsi="Times New Roman" w:eastAsia="仿宋_GB2312" w:cs="仿宋_GB2312"/>
          <w:kern w:val="0"/>
          <w:sz w:val="30"/>
          <w:szCs w:val="30"/>
          <w:highlight w:val="none"/>
        </w:rPr>
        <w:t>台（套）。</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根据预算绩效管理要求，中共天津经济技术开发区委员会办公室（天津经济技术开发区管理委员会办公室）2023年度已对17个项目开展绩效自评，涉及金额363</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705</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404.59元，自评结果已随部门决算一并公开。</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rPr>
        <w:t>本部门2023年度未开展部门评价。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中共天津经济技术开发区委员会办公室（天津经济技术开发区管理委员会办公室）不属于乡、镇、街级单位，不涉及公开2023年度教育、医疗卫生、社会保障和就业、住房保障、涉农补贴等民生支出情况。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wZjE5NzRjZmJiNjg0YzVjZTIxOTc0MDdlMjIwYTg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4B07DBE"/>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3DD4D2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BEC49DB"/>
    <w:rsid w:val="1CCA277E"/>
    <w:rsid w:val="1DFB572F"/>
    <w:rsid w:val="1EC5396A"/>
    <w:rsid w:val="1EFB0588"/>
    <w:rsid w:val="20DB5BFD"/>
    <w:rsid w:val="20DF3926"/>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4444F3"/>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2450FA"/>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002CA7"/>
    <w:rsid w:val="7455465F"/>
    <w:rsid w:val="75AB44BA"/>
    <w:rsid w:val="788A7831"/>
    <w:rsid w:val="79B7155B"/>
    <w:rsid w:val="79DC07A5"/>
    <w:rsid w:val="7ACA53E2"/>
    <w:rsid w:val="7B143565"/>
    <w:rsid w:val="7B1F1B0E"/>
    <w:rsid w:val="7CE41551"/>
    <w:rsid w:val="7E2E7A36"/>
    <w:rsid w:val="7E703A39"/>
    <w:rsid w:val="7F3217A8"/>
    <w:rsid w:val="7FDD7966"/>
    <w:rsid w:val="FFDB2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5594</Words>
  <Characters>6676</Characters>
  <Lines>82</Lines>
  <Paragraphs>23</Paragraphs>
  <TotalTime>5</TotalTime>
  <ScaleCrop>false</ScaleCrop>
  <LinksUpToDate>false</LinksUpToDate>
  <CharactersWithSpaces>6711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2023-08-11T16:11:00Z</dcterms:created>
  <dc:creator>office</dc:creator>
  <cp:lastModifiedBy>樱桃桃</cp:lastModifiedBy>
  <dcterms:modified xsi:type="dcterms:W3CDTF">2024-10-14T07:02:28Z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6C7AC28326A8417082093F6F6F12F5C1_13</vt:lpwstr>
  </property>
</Properties>
</file>