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</w:p>
    <w:p>
      <w:pPr>
        <w:adjustRightInd w:val="0"/>
        <w:spacing w:line="600" w:lineRule="exact"/>
        <w:jc w:val="center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  <w:lang w:eastAsia="zh-CN"/>
        </w:rPr>
        <w:t>中区办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202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年部门预算编制说明</w:t>
      </w:r>
    </w:p>
    <w:p>
      <w:pPr>
        <w:adjustRightInd w:val="0"/>
        <w:spacing w:line="600" w:lineRule="exact"/>
        <w:jc w:val="left"/>
        <w:textAlignment w:val="baseline"/>
        <w:rPr>
          <w:rFonts w:ascii="黑体" w:hAnsi="Times New Roman" w:eastAsia="黑体" w:cs="Times New Roman"/>
          <w:kern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执行党委管委会总体规划,结合实际提出修改规划的建议；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</w:t>
      </w:r>
      <w:r>
        <w:rPr>
          <w:rFonts w:hint="eastAsia" w:eastAsia="仿宋_GB2312"/>
          <w:sz w:val="30"/>
          <w:szCs w:val="30"/>
        </w:rPr>
        <w:t>经管委会授权,统一指挥、协调土地征储,土地看管、土地开发和基础设施建设事宜；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eastAsia="仿宋_GB2312"/>
          <w:sz w:val="30"/>
          <w:szCs w:val="30"/>
        </w:rPr>
        <w:t>拟订和提出年度政府投资基本建设计划,制定项目实施计划并组织实施掌控资金计划；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</w:t>
      </w:r>
      <w:r>
        <w:rPr>
          <w:rFonts w:hint="eastAsia" w:eastAsia="仿宋_GB2312"/>
          <w:sz w:val="30"/>
          <w:szCs w:val="30"/>
        </w:rPr>
        <w:t>经管委会授权,代表管委会与主体投资单位和基础设施源头先期接触谈判,拟订建设、投资方案；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</w:t>
      </w:r>
      <w:r>
        <w:rPr>
          <w:rFonts w:hint="eastAsia" w:eastAsia="仿宋_GB2312"/>
          <w:sz w:val="30"/>
          <w:szCs w:val="30"/>
        </w:rPr>
        <w:t>经管委会授权,在土地开发、基础设施建设过程中,履行甲方职责,包括工程招标、政府采购、工程质量监管和工程验收,并在技术层面上协调专业公司的建设事宜；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</w:t>
      </w:r>
      <w:r>
        <w:rPr>
          <w:rFonts w:hint="eastAsia" w:eastAsia="仿宋_GB2312"/>
          <w:sz w:val="30"/>
          <w:szCs w:val="30"/>
        </w:rPr>
        <w:t>按照管委会要求，完成区域经济发展规划实施,承担区域经济服务和企业服务工作,在管委会统一指导下研究区域经济发展有关问题；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</w:t>
      </w:r>
      <w:r>
        <w:rPr>
          <w:rFonts w:hint="eastAsia" w:eastAsia="仿宋_GB2312"/>
          <w:sz w:val="30"/>
          <w:szCs w:val="30"/>
        </w:rPr>
        <w:t>按照招商总体规划,围绕区域产业定位,积极开展配合招商工作,同时协助项目选址、土地出让,并为项目提供相关后期服务；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</w:t>
      </w:r>
      <w:r>
        <w:rPr>
          <w:rFonts w:hint="eastAsia" w:eastAsia="仿宋_GB2312"/>
          <w:sz w:val="30"/>
          <w:szCs w:val="30"/>
        </w:rPr>
        <w:t>负责协调管理区域内能源及相关配套设施的建设、使用及管理工作；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</w:t>
      </w:r>
      <w:r>
        <w:rPr>
          <w:rFonts w:hint="eastAsia" w:eastAsia="仿宋_GB2312"/>
          <w:sz w:val="30"/>
          <w:szCs w:val="30"/>
        </w:rPr>
        <w:t>负责区域内公用事业项目的运营,承担区域范围内扫保工作，以及养管质量、服务、成本等方面的监管工作；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</w:t>
      </w:r>
      <w:r>
        <w:rPr>
          <w:rFonts w:hint="eastAsia" w:eastAsia="仿宋_GB2312"/>
          <w:sz w:val="30"/>
          <w:szCs w:val="30"/>
        </w:rPr>
        <w:t>协调本区域市政设施绿化及养管、环境卫生、防汛、清融雪等管理工作；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</w:t>
      </w:r>
      <w:r>
        <w:rPr>
          <w:rFonts w:hint="eastAsia" w:eastAsia="仿宋_GB2312"/>
          <w:sz w:val="30"/>
          <w:szCs w:val="30"/>
        </w:rPr>
        <w:t>履行本区域生态环境保护属地管理责任，开展本级网格内大气污染、水污染、土地污染防治工作，加强生态保护修复与监管；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12.</w:t>
      </w:r>
      <w:r>
        <w:rPr>
          <w:rFonts w:hint="eastAsia" w:eastAsia="仿宋_GB2312"/>
          <w:sz w:val="30"/>
          <w:szCs w:val="30"/>
        </w:rPr>
        <w:t>开展河长制工作，组织相应河湖的管理、保护、清理整治等工作；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13.</w:t>
      </w:r>
      <w:r>
        <w:rPr>
          <w:rFonts w:hint="eastAsia" w:eastAsia="仿宋_GB2312"/>
          <w:sz w:val="30"/>
          <w:szCs w:val="30"/>
        </w:rPr>
        <w:t>配合经开区职能部门履行属地生产安全、管道安全、食品安全监管职责，配合大港地区相关职能部门履行属地消防安全、交通安全管理职责。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14.</w:t>
      </w:r>
      <w:r>
        <w:rPr>
          <w:rFonts w:hint="eastAsia" w:eastAsia="仿宋_GB2312"/>
          <w:sz w:val="30"/>
          <w:szCs w:val="30"/>
        </w:rPr>
        <w:t>按照管委会要求,协调各部门做好企业服务、教育文化卫生体育、人力资源和社会保障、社会稳定、机关党建、企业党建、工青妇等管理延伸的相关工作；</w:t>
      </w:r>
    </w:p>
    <w:p>
      <w:pPr>
        <w:spacing w:line="5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15.</w:t>
      </w:r>
      <w:r>
        <w:rPr>
          <w:rFonts w:hint="eastAsia" w:eastAsia="仿宋_GB2312"/>
          <w:sz w:val="30"/>
          <w:szCs w:val="30"/>
        </w:rPr>
        <w:t>承办经开区党委、管委会交办的其他工作。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部门机构设置情况</w:t>
      </w:r>
    </w:p>
    <w:p>
      <w:pPr>
        <w:spacing w:line="5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单位全称为天津经济技术开发区中区办公室，是经开区法定机构的内设部门，内设综合事务部、招商服务部、规划建设部、公用事业部、安全环保部五个部门。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部门收入预算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1259.74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189.06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万元。其中，本年收入合计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1259.74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189.06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万元，包括财政拨款预算收入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1259.74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万元、非同级财政拨款预算收入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万元、事业预算收入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万元、经营预算收入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万元、上级补助预算收入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万元、附属单位上缴预算收入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万元、投资预算收益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万元、其他预算收入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万元；上年结转和结余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1259.74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189.06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0"/>
          <w:szCs w:val="30"/>
        </w:rPr>
        <w:t>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843.74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人员经费和公用经费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416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租赁与物业费专项、行政办公运维专项、专业第三方服务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法律经费。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本部门20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年安排机关运行经费预算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65.54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万元，包括办公费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万元、差旅费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万元、水费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万元、邮电费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维修（护）费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2.5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万元，培训费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万元，手续费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万元,委托业务费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万元，其他商品和服务支出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万元，伙食补助费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18.54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年安排政府采购预算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155.85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155.05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万元。主要项目是：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物业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100.55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其他服务项目（巡逻和网格化管理服务）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54.50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办公消耗用品项目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（复印纸）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截至20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年底，本部门各单位共有车辆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辆，其中：其中：副部（省）级及以上领导用车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辆、主要领导干部用车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辆、机要通信用车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辆、离退休干部用车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辆，其他用车主要包括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。单价50万元以上的通用设备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台（套），单价100万元以上的专用设备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年，本部门实行绩效目标管理的项目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个，涉及预算金额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1.本部门202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年财政拨款政府性基金预算支出预算表为空表。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2.本部门2021年财政拨款“三公”经费预算表为空表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420" w:firstLineChars="200"/>
      </w:pPr>
    </w:p>
    <w:sectPr>
      <w:headerReference r:id="rId3" w:type="default"/>
      <w:footerReference r:id="rId4" w:type="default"/>
      <w:footerReference r:id="rId5" w:type="even"/>
      <w:pgSz w:w="11907" w:h="16840"/>
      <w:pgMar w:top="1985" w:right="1588" w:bottom="1701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91D22"/>
    <w:multiLevelType w:val="singleLevel"/>
    <w:tmpl w:val="ECC91D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jBjMzk3MGVmMGFjOTRlMTE2N2NlY2Q1NGZhMGEifQ=="/>
  </w:docVars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42426"/>
    <w:rsid w:val="00267AED"/>
    <w:rsid w:val="00280F94"/>
    <w:rsid w:val="002B2CE0"/>
    <w:rsid w:val="002D062E"/>
    <w:rsid w:val="002F2F18"/>
    <w:rsid w:val="00383807"/>
    <w:rsid w:val="003F23CE"/>
    <w:rsid w:val="00572D96"/>
    <w:rsid w:val="005C395E"/>
    <w:rsid w:val="006D47A9"/>
    <w:rsid w:val="00715238"/>
    <w:rsid w:val="007222EE"/>
    <w:rsid w:val="00782119"/>
    <w:rsid w:val="0083495A"/>
    <w:rsid w:val="00865F07"/>
    <w:rsid w:val="00A34EBA"/>
    <w:rsid w:val="00A64C49"/>
    <w:rsid w:val="00BD7440"/>
    <w:rsid w:val="00C01D5E"/>
    <w:rsid w:val="00CE3A17"/>
    <w:rsid w:val="00D313D3"/>
    <w:rsid w:val="00D85076"/>
    <w:rsid w:val="00DE7CED"/>
    <w:rsid w:val="00EC498D"/>
    <w:rsid w:val="00F564F9"/>
    <w:rsid w:val="023C4E17"/>
    <w:rsid w:val="06287461"/>
    <w:rsid w:val="06E93094"/>
    <w:rsid w:val="09A80FE4"/>
    <w:rsid w:val="0D2A1D10"/>
    <w:rsid w:val="0F452E31"/>
    <w:rsid w:val="17982698"/>
    <w:rsid w:val="189F7A56"/>
    <w:rsid w:val="18AE1A47"/>
    <w:rsid w:val="1D927B8A"/>
    <w:rsid w:val="23140702"/>
    <w:rsid w:val="24247062"/>
    <w:rsid w:val="245711E5"/>
    <w:rsid w:val="29773306"/>
    <w:rsid w:val="334E7C57"/>
    <w:rsid w:val="41393CF5"/>
    <w:rsid w:val="4CE23492"/>
    <w:rsid w:val="4D812CAB"/>
    <w:rsid w:val="4E994025"/>
    <w:rsid w:val="4F6C798B"/>
    <w:rsid w:val="52B551A5"/>
    <w:rsid w:val="55CC4CE0"/>
    <w:rsid w:val="59C52172"/>
    <w:rsid w:val="5AA1673B"/>
    <w:rsid w:val="5C597E34"/>
    <w:rsid w:val="5F322057"/>
    <w:rsid w:val="63EB4ECB"/>
    <w:rsid w:val="6551359D"/>
    <w:rsid w:val="65801643"/>
    <w:rsid w:val="68A815DC"/>
    <w:rsid w:val="68F14D31"/>
    <w:rsid w:val="6F3040D9"/>
    <w:rsid w:val="6F857F81"/>
    <w:rsid w:val="6FDC1B6B"/>
    <w:rsid w:val="7702635B"/>
    <w:rsid w:val="792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12</TotalTime>
  <ScaleCrop>false</ScaleCrop>
  <LinksUpToDate>false</LinksUpToDate>
  <CharactersWithSpaces>1683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2020-02-04T12:29:00Z</dcterms:created>
  <dc:creator>张萌</dc:creator>
  <cp:lastModifiedBy>娜娜</cp:lastModifiedBy>
  <cp:lastPrinted>2020-02-04T12:44:00Z</cp:lastPrinted>
  <dcterms:modified xsi:type="dcterms:W3CDTF">2023-10-08T08:19:47Z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2B0749CA6EFD465F9A2BEE4B4CDFCB5F_12</vt:lpwstr>
  </property>
</Properties>
</file>