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692A">
      <w:pPr>
        <w:spacing w:line="580" w:lineRule="exact"/>
        <w:jc w:val="center"/>
        <w:rPr>
          <w:rFonts w:hint="eastAsia" w:eastAsia="黑体"/>
          <w:w w:val="95"/>
          <w:sz w:val="44"/>
          <w:szCs w:val="44"/>
        </w:rPr>
      </w:pPr>
      <w:bookmarkStart w:id="15" w:name="_GoBack"/>
      <w:bookmarkEnd w:id="15"/>
    </w:p>
    <w:p w14:paraId="07C7DB1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439896EE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1957C42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63D25B3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51B7E0C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56FE466A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天津经济技术开发区中区管理办公室</w:t>
      </w:r>
    </w:p>
    <w:p w14:paraId="3468B3F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2025年部门预算</w:t>
      </w:r>
    </w:p>
    <w:p w14:paraId="47F193E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 w14:paraId="13034F79">
      <w:pPr>
        <w:spacing w:line="580" w:lineRule="exact"/>
        <w:jc w:val="center"/>
        <w:rPr>
          <w:rFonts w:hint="eastAsia" w:ascii="楷体_GB2312" w:eastAsia="楷体_GB2312"/>
          <w:color w:val="FF0000"/>
          <w:sz w:val="36"/>
          <w:szCs w:val="36"/>
        </w:rPr>
      </w:pPr>
    </w:p>
    <w:p w14:paraId="0059EDC3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11B193A7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0539AD35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378F36B0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2EBA9E2A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2C59A525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7978F26F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6BC27D73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3E1CA068"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 w14:paraId="44FC16DB"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 w14:paraId="2A4636B6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23DCFA3A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3779FDBA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 w14:paraId="3A842848"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 w14:paraId="19815F00">
      <w:pPr>
        <w:spacing w:line="600" w:lineRule="exact"/>
        <w:rPr>
          <w:rFonts w:hint="eastAsia" w:ascii="黑体" w:eastAsia="黑体"/>
          <w:sz w:val="30"/>
          <w:szCs w:val="30"/>
        </w:rPr>
      </w:pPr>
    </w:p>
    <w:p w14:paraId="07ED53FA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 w14:paraId="3D98E688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 w14:paraId="72FDA0F7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 w14:paraId="68F509AE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2025年部门预算情况说明</w:t>
      </w:r>
    </w:p>
    <w:p w14:paraId="4304A44C">
      <w:pPr>
        <w:spacing w:line="600" w:lineRule="exact"/>
        <w:ind w:firstLine="594" w:firstLineChars="198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一、关于收支预算总表的说明</w:t>
      </w:r>
    </w:p>
    <w:p w14:paraId="7C793C01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二、关于收入预算总表的说明</w:t>
      </w:r>
    </w:p>
    <w:p w14:paraId="0845B96D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三、关于支出预算总表的说明</w:t>
      </w:r>
    </w:p>
    <w:p w14:paraId="74B0659E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四、关于财政拨款收支预算总表的说明</w:t>
      </w:r>
    </w:p>
    <w:p w14:paraId="585C0255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五、关于财政拨款一般公共预算支出预算表的说明</w:t>
      </w:r>
    </w:p>
    <w:p w14:paraId="157DB840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六、关于财政拨款一般公共预算基本支出预算表的说明</w:t>
      </w:r>
    </w:p>
    <w:p w14:paraId="584C529C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</w:t>
      </w:r>
      <w:r>
        <w:rPr>
          <w:rFonts w:hint="eastAsia" w:ascii="仿宋_GB2312" w:hAnsi="Times New Roman" w:eastAsia="仿宋_GB2312"/>
          <w:spacing w:val="-20"/>
          <w:sz w:val="30"/>
          <w:szCs w:val="30"/>
        </w:rPr>
        <w:t>关于财政拨款一般公共预算“三公”经费支出预算表的说明</w:t>
      </w:r>
    </w:p>
    <w:p w14:paraId="6AB91406">
      <w:pPr>
        <w:spacing w:line="600" w:lineRule="exact"/>
        <w:ind w:left="1200" w:leftChars="250" w:hanging="600" w:hangingChars="200"/>
        <w:rPr>
          <w:rFonts w:hint="eastAsia" w:ascii="仿宋_GB2312" w:hAnsi="Times New Roman" w:eastAsia="仿宋_GB2312"/>
          <w:spacing w:val="-20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八、关于财政拨款政府性基金预算支出预算表的说明</w:t>
      </w:r>
    </w:p>
    <w:p w14:paraId="123F1D73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九、关于国有资本经营预算支出预算表的说明</w:t>
      </w:r>
    </w:p>
    <w:p w14:paraId="40949706"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 w14:paraId="6C70A180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 w14:paraId="15001CA0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2025年部门预算表</w:t>
      </w:r>
    </w:p>
    <w:p w14:paraId="4EE5DFF0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ascii="仿宋_GB2312" w:hAnsi="Times New Roman" w:eastAsia="仿宋_GB2312"/>
          <w:sz w:val="30"/>
          <w:szCs w:val="30"/>
        </w:rPr>
        <w:t>2025年收支预算总表</w:t>
      </w:r>
    </w:p>
    <w:p w14:paraId="33C7DE5A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2025年收入预算总表</w:t>
      </w:r>
    </w:p>
    <w:p w14:paraId="394AA1BC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ascii="仿宋_GB2312" w:hAnsi="Times New Roman" w:eastAsia="仿宋_GB2312"/>
          <w:sz w:val="30"/>
          <w:szCs w:val="30"/>
        </w:rPr>
        <w:t>2025年支出预算总表</w:t>
      </w:r>
    </w:p>
    <w:p w14:paraId="4CFF7C8C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</w:t>
      </w:r>
      <w:r>
        <w:rPr>
          <w:rFonts w:ascii="仿宋_GB2312" w:hAnsi="Times New Roman" w:eastAsia="仿宋_GB2312"/>
          <w:sz w:val="30"/>
          <w:szCs w:val="30"/>
        </w:rPr>
        <w:t>2025年财政拨款收支预算总表</w:t>
      </w:r>
    </w:p>
    <w:p w14:paraId="019FCE11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</w:t>
      </w:r>
      <w:r>
        <w:rPr>
          <w:rFonts w:ascii="仿宋_GB2312" w:hAnsi="Times New Roman" w:eastAsia="仿宋_GB2312"/>
          <w:sz w:val="30"/>
          <w:szCs w:val="30"/>
        </w:rPr>
        <w:t>2025年财政拨款一般公共预算支出预算表</w:t>
      </w:r>
    </w:p>
    <w:p w14:paraId="13DD06A6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</w:t>
      </w:r>
      <w:r>
        <w:rPr>
          <w:rFonts w:ascii="仿宋_GB2312" w:hAnsi="Times New Roman" w:eastAsia="仿宋_GB2312"/>
          <w:sz w:val="30"/>
          <w:szCs w:val="30"/>
        </w:rPr>
        <w:t>2025年财政拨款一般公共预算基本支出预算表</w:t>
      </w:r>
    </w:p>
    <w:p w14:paraId="6A3F62ED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七、2025年财政拨款一般公共预算“三公”经费支出预算表</w:t>
      </w:r>
    </w:p>
    <w:p w14:paraId="67B603B9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</w:t>
      </w:r>
      <w:r>
        <w:rPr>
          <w:rFonts w:ascii="仿宋_GB2312" w:hAnsi="Times New Roman" w:eastAsia="仿宋_GB2312"/>
          <w:sz w:val="30"/>
          <w:szCs w:val="30"/>
        </w:rPr>
        <w:t>2025年财政拨款政府性基金预算支出预算表</w:t>
      </w:r>
    </w:p>
    <w:p w14:paraId="01EE1DA8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九、2025年国有资本经营预算支出预算表</w:t>
      </w:r>
    </w:p>
    <w:p w14:paraId="26B2BEEE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</w:t>
      </w:r>
      <w:r>
        <w:rPr>
          <w:rFonts w:ascii="仿宋_GB2312" w:hAnsi="Times New Roman" w:eastAsia="仿宋_GB2312"/>
          <w:sz w:val="30"/>
          <w:szCs w:val="30"/>
        </w:rPr>
        <w:t>2025年项目支出预算表</w:t>
      </w:r>
    </w:p>
    <w:p w14:paraId="0172072F"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</w:t>
      </w:r>
      <w:r>
        <w:rPr>
          <w:rFonts w:ascii="仿宋_GB2312" w:hAnsi="Times New Roman" w:eastAsia="仿宋_GB2312"/>
          <w:sz w:val="30"/>
          <w:szCs w:val="30"/>
        </w:rPr>
        <w:t>2025年财政拨款政府采购预算表</w:t>
      </w:r>
    </w:p>
    <w:p w14:paraId="5E1D4CC6">
      <w:pPr>
        <w:spacing w:line="600" w:lineRule="exact"/>
        <w:ind w:firstLine="594" w:firstLineChars="198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十二、关于空表的说明</w:t>
      </w:r>
    </w:p>
    <w:p w14:paraId="47F9081C"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 w14:paraId="547723B2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 w14:paraId="7872E2FE">
      <w:pPr>
        <w:spacing w:line="600" w:lineRule="exact"/>
        <w:rPr>
          <w:rFonts w:hint="eastAsia"/>
        </w:rPr>
      </w:pPr>
    </w:p>
    <w:p w14:paraId="3DE79291">
      <w:pPr>
        <w:spacing w:line="600" w:lineRule="exact"/>
      </w:pPr>
      <w:bookmarkStart w:id="1" w:name="_Toc78784555"/>
      <w:r>
        <w:rPr>
          <w:rFonts w:hint="eastAsia" w:ascii="仿宋_GB2312" w:hAnsi="Times New Roman" w:eastAsia="仿宋_GB2312"/>
          <w:b/>
          <w:sz w:val="30"/>
          <w:szCs w:val="30"/>
        </w:rPr>
        <w:t>一、主要职责</w:t>
      </w:r>
      <w:bookmarkEnd w:id="1"/>
      <w:bookmarkStart w:id="2" w:name="_Toc78784556"/>
    </w:p>
    <w:p w14:paraId="5F9E320B">
      <w:pPr>
        <w:pStyle w:val="9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（一）负责中区日常事务管理，做好驻区单位协调、联络、对接及后勤服务保障等工作。</w:t>
      </w:r>
    </w:p>
    <w:p w14:paraId="7D62282D">
      <w:pPr>
        <w:pStyle w:val="9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（二）负责中区企业服务和招商服务工作。</w:t>
      </w:r>
    </w:p>
    <w:p w14:paraId="54DA6989">
      <w:pPr>
        <w:pStyle w:val="9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（三）负责配合职能延伸部门做好属地信访稳定与综合治理工作。</w:t>
      </w:r>
    </w:p>
    <w:p w14:paraId="0FC1AAC4">
      <w:pPr>
        <w:pStyle w:val="9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（四）负责本领域安全生产管理工作。</w:t>
      </w:r>
    </w:p>
    <w:p w14:paraId="6724DC3E">
      <w:pPr>
        <w:pStyle w:val="9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（五）贯彻落实本单位全面从严治党主体责任，严格落实基层党建工作任务，发挥党组织战斗堡垒作用和党员先锋模范作用。</w:t>
      </w:r>
    </w:p>
    <w:p w14:paraId="0B988182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二、机构设置</w:t>
      </w:r>
      <w:bookmarkEnd w:id="2"/>
      <w:r>
        <w:rPr>
          <w:rFonts w:hint="eastAsia" w:ascii="仿宋_GB2312" w:hAnsi="Times New Roman" w:eastAsia="仿宋_GB2312"/>
          <w:b/>
          <w:sz w:val="30"/>
          <w:szCs w:val="30"/>
        </w:rPr>
        <w:t>情况</w:t>
      </w:r>
    </w:p>
    <w:p w14:paraId="603B6942">
      <w:pPr>
        <w:spacing w:line="60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本</w:t>
      </w:r>
      <w:r>
        <w:rPr>
          <w:rFonts w:ascii="仿宋_GB2312" w:hAnsi="Times New Roman" w:eastAsia="仿宋_GB2312"/>
          <w:sz w:val="30"/>
          <w:szCs w:val="30"/>
        </w:rPr>
        <w:t>部门内设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3</w:t>
      </w:r>
      <w:r>
        <w:rPr>
          <w:rFonts w:ascii="仿宋_GB2312" w:hAnsi="Times New Roman" w:eastAsia="仿宋_GB2312"/>
          <w:sz w:val="30"/>
          <w:szCs w:val="30"/>
        </w:rPr>
        <w:t>个职能处室；下辖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个预算单位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 w14:paraId="724D5458">
      <w:pPr>
        <w:spacing w:line="600" w:lineRule="exact"/>
        <w:ind w:firstLine="600"/>
        <w:jc w:val="both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纳入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中区管理办公室</w:t>
      </w:r>
      <w:r>
        <w:rPr>
          <w:rFonts w:hint="eastAsia" w:ascii="仿宋_GB2312" w:hAnsi="Times New Roman" w:eastAsia="仿宋_GB2312"/>
          <w:sz w:val="30"/>
          <w:szCs w:val="30"/>
        </w:rPr>
        <w:t>2025年部门预算编制范围的预算单位包括：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中区管理办公室本级</w:t>
      </w:r>
    </w:p>
    <w:p w14:paraId="26D21B98">
      <w:pPr>
        <w:spacing w:line="600" w:lineRule="exact"/>
        <w:ind w:firstLine="600"/>
        <w:jc w:val="both"/>
        <w:rPr>
          <w:rFonts w:hint="eastAsia" w:ascii="仿宋_GB2312" w:hAnsi="Times New Roman" w:eastAsia="仿宋_GB2312"/>
          <w:sz w:val="30"/>
          <w:szCs w:val="30"/>
        </w:rPr>
      </w:pPr>
    </w:p>
    <w:p w14:paraId="391A201A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7B61ABFE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21015F8A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751882DC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19D05B31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55EC7DDA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43A25CD9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177BFA68"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 w14:paraId="529A1CF7">
      <w:pPr>
        <w:pStyle w:val="2"/>
        <w:keepNex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 w14:paraId="76C1A491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2025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14:paraId="1CA870D7"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 w14:paraId="050CE2FB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4" w:name="_Toc78784571"/>
      <w:r>
        <w:rPr>
          <w:rFonts w:hint="eastAsia" w:ascii="仿宋_GB2312" w:hAnsi="Times New Roman" w:eastAsia="仿宋_GB2312"/>
          <w:b/>
          <w:sz w:val="30"/>
          <w:szCs w:val="30"/>
        </w:rPr>
        <w:t>一、</w:t>
      </w:r>
      <w:bookmarkEnd w:id="4"/>
      <w:r>
        <w:rPr>
          <w:rFonts w:hint="eastAsia" w:ascii="仿宋_GB2312" w:hAnsi="Times New Roman" w:eastAsia="仿宋_GB2312"/>
          <w:b/>
          <w:sz w:val="30"/>
          <w:szCs w:val="30"/>
        </w:rPr>
        <w:t>关于收支预算总表的说明</w:t>
      </w:r>
    </w:p>
    <w:p w14:paraId="4EE39948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按照综合预算的原则，本部门所有收入和支出均纳入部门预算管理。收入包括：一般公共预算拨款收入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政府性基金预算拨款收入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国有资本经营预算拨款收入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、财政专户管理资金收入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、事业收入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事业单位经营收入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</w:t>
      </w:r>
      <w:r>
        <w:rPr>
          <w:rFonts w:ascii="仿宋_GB2312" w:hAnsi="Times New Roman" w:eastAsia="仿宋_GB2312"/>
          <w:sz w:val="30"/>
          <w:szCs w:val="30"/>
        </w:rPr>
        <w:t>上年结转结余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；支出包括：一般公共服务支出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699.32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城乡社区</w:t>
      </w:r>
      <w:r>
        <w:rPr>
          <w:rFonts w:hint="eastAsia" w:ascii="仿宋_GB2312" w:hAnsi="Times New Roman" w:eastAsia="仿宋_GB2312"/>
          <w:sz w:val="30"/>
          <w:szCs w:val="30"/>
        </w:rPr>
        <w:t>支出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1000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。本部门2025年收支总预算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 w14:paraId="3C96E60A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5" w:name="_Toc78784572"/>
      <w:r>
        <w:rPr>
          <w:rFonts w:hint="eastAsia" w:ascii="仿宋_GB2312" w:hAnsi="Times New Roman" w:eastAsia="仿宋_GB2312"/>
          <w:b/>
          <w:sz w:val="30"/>
          <w:szCs w:val="30"/>
        </w:rPr>
        <w:t>二、</w:t>
      </w:r>
      <w:bookmarkEnd w:id="5"/>
      <w:r>
        <w:rPr>
          <w:rFonts w:hint="eastAsia" w:ascii="仿宋_GB2312" w:hAnsi="Times New Roman" w:eastAsia="仿宋_GB2312"/>
          <w:b/>
          <w:sz w:val="30"/>
          <w:szCs w:val="30"/>
        </w:rPr>
        <w:t>关于收入预算总表的说明</w:t>
      </w:r>
    </w:p>
    <w:p w14:paraId="08801C47">
      <w:pPr>
        <w:spacing w:line="600" w:lineRule="exact"/>
        <w:ind w:firstLine="600" w:firstLineChars="200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本部门2025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</w:rPr>
        <w:t>部门预算</w:t>
      </w:r>
      <w:r>
        <w:rPr>
          <w:rFonts w:ascii="仿宋_GB2312" w:hAnsi="Times New Roman" w:eastAsia="仿宋_GB2312"/>
          <w:sz w:val="30"/>
          <w:szCs w:val="30"/>
        </w:rPr>
        <w:t>收入</w:t>
      </w:r>
      <w:bookmarkStart w:id="6" w:name="OLE_LINK2"/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bookmarkEnd w:id="6"/>
      <w:r>
        <w:rPr>
          <w:rFonts w:ascii="仿宋_GB2312" w:hAnsi="Times New Roman" w:eastAsia="仿宋_GB2312"/>
          <w:sz w:val="30"/>
          <w:szCs w:val="30"/>
        </w:rPr>
        <w:t>万元，与</w:t>
      </w:r>
      <w:r>
        <w:rPr>
          <w:rFonts w:hint="eastAsia" w:ascii="仿宋_GB2312" w:hAnsi="Times New Roman" w:eastAsia="仿宋_GB2312"/>
          <w:sz w:val="30"/>
          <w:szCs w:val="30"/>
        </w:rPr>
        <w:t>2024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</w:rPr>
        <w:t>预</w:t>
      </w:r>
      <w:r>
        <w:rPr>
          <w:rFonts w:ascii="仿宋_GB2312" w:hAnsi="Times New Roman" w:eastAsia="仿宋_GB2312"/>
          <w:sz w:val="30"/>
          <w:szCs w:val="30"/>
        </w:rPr>
        <w:t>算相比增加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</w:t>
      </w:r>
      <w:r>
        <w:rPr>
          <w:rFonts w:hint="eastAsia" w:ascii="仿宋_GB2312" w:hAnsi="Times New Roman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  <w:r>
        <w:rPr>
          <w:rFonts w:ascii="仿宋_GB2312" w:hAnsi="Times New Roman" w:eastAsia="仿宋_GB2312"/>
          <w:sz w:val="30"/>
          <w:szCs w:val="30"/>
        </w:rPr>
        <w:t>其中：</w:t>
      </w:r>
      <w:r>
        <w:rPr>
          <w:rFonts w:hint="eastAsia" w:ascii="仿宋_GB2312" w:hAnsi="Times New Roman" w:eastAsia="仿宋_GB2312"/>
          <w:sz w:val="30"/>
          <w:szCs w:val="30"/>
        </w:rPr>
        <w:t>上年结转结余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%；一般公共预算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100</w:t>
      </w:r>
      <w:r>
        <w:rPr>
          <w:rFonts w:ascii="仿宋_GB2312" w:hAnsi="Times New Roman" w:eastAsia="仿宋_GB2312"/>
          <w:sz w:val="30"/>
          <w:szCs w:val="30"/>
        </w:rPr>
        <w:t>%；政府性基金预算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%；国有资本经营预算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财政专户管理资金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%；事业收入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事业单位</w:t>
      </w:r>
      <w:r>
        <w:rPr>
          <w:rFonts w:ascii="仿宋_GB2312" w:hAnsi="Times New Roman" w:eastAsia="仿宋_GB2312"/>
          <w:sz w:val="30"/>
          <w:szCs w:val="30"/>
        </w:rPr>
        <w:t>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ascii="仿宋_GB2312" w:hAnsi="Times New Roman" w:eastAsia="仿宋_GB2312"/>
          <w:sz w:val="30"/>
          <w:szCs w:val="30"/>
        </w:rPr>
        <w:t>%；其他收入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  <w:bookmarkStart w:id="7" w:name="_Toc78784573"/>
    </w:p>
    <w:p w14:paraId="67DB6CC3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三、</w:t>
      </w:r>
      <w:bookmarkEnd w:id="7"/>
      <w:r>
        <w:rPr>
          <w:rFonts w:hint="eastAsia" w:ascii="仿宋_GB2312" w:hAnsi="Times New Roman" w:eastAsia="仿宋_GB2312"/>
          <w:b/>
          <w:sz w:val="30"/>
          <w:szCs w:val="30"/>
        </w:rPr>
        <w:t>关于支出预算总表的说明</w:t>
      </w:r>
    </w:p>
    <w:p w14:paraId="52589297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本部门2025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329.32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19.38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1370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80.62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%；上缴上级支出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14:paraId="5BFBC5F2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8" w:name="_Toc78784574"/>
      <w:r>
        <w:rPr>
          <w:rFonts w:hint="eastAsia" w:ascii="仿宋_GB2312" w:hAnsi="Times New Roman" w:eastAsia="仿宋_GB2312"/>
          <w:b/>
          <w:sz w:val="30"/>
          <w:szCs w:val="30"/>
        </w:rPr>
        <w:t>四、</w:t>
      </w:r>
      <w:bookmarkEnd w:id="8"/>
      <w:r>
        <w:rPr>
          <w:rFonts w:hint="eastAsia" w:ascii="仿宋_GB2312" w:hAnsi="Times New Roman" w:eastAsia="仿宋_GB2312"/>
          <w:b/>
          <w:sz w:val="30"/>
          <w:szCs w:val="30"/>
        </w:rPr>
        <w:t>关于财政拨款收支预算总表的说明</w:t>
      </w:r>
    </w:p>
    <w:p w14:paraId="391DFEB1"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本部门2025年财政拨款收入预算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。2025年财政拨款支出预算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、城乡社区支出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 xml:space="preserve">1000 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lang w:val="en-US" w:eastAsia="zh-CN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 w14:paraId="79BE2950"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关于财政拨款一般公共预算支出预算表的说明</w:t>
      </w:r>
    </w:p>
    <w:p w14:paraId="2DD05747">
      <w:pPr>
        <w:spacing w:line="580" w:lineRule="exact"/>
        <w:ind w:firstLine="600" w:firstLineChars="200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（一）总体情况</w:t>
      </w:r>
    </w:p>
    <w:p w14:paraId="07F0E229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hint="eastAsia" w:eastAsia="仿宋_GB2312"/>
          <w:sz w:val="30"/>
          <w:szCs w:val="30"/>
        </w:rPr>
        <w:t>2025年一般公共预算支出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</w:t>
      </w:r>
    </w:p>
    <w:p w14:paraId="6E1A3BBF"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</w:t>
      </w:r>
      <w:r>
        <w:rPr>
          <w:rFonts w:ascii="楷体_GB2312" w:eastAsia="楷体_GB2312"/>
          <w:sz w:val="30"/>
          <w:szCs w:val="30"/>
        </w:rPr>
        <w:t>具体情况</w:t>
      </w:r>
    </w:p>
    <w:p w14:paraId="171ED086"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ascii="MS Serif" w:hAnsi="MS Serif" w:eastAsia="仿宋_GB2312" w:cs="Times New Roman"/>
          <w:sz w:val="30"/>
          <w:szCs w:val="30"/>
        </w:rPr>
        <w:t>一般公共服务支出（类）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eastAsia="仿宋_GB2312"/>
          <w:sz w:val="30"/>
          <w:szCs w:val="30"/>
        </w:rPr>
        <w:t>，其中：</w:t>
      </w:r>
      <w:r>
        <w:rPr>
          <w:rFonts w:hint="eastAsia" w:ascii="MS Serif" w:hAnsi="MS Serif" w:eastAsia="仿宋_GB2312" w:cs="Times New Roman"/>
          <w:sz w:val="30"/>
          <w:szCs w:val="30"/>
        </w:rPr>
        <w:t>“政府办公厅（室）及相关机构事务（款）”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</w:rPr>
        <w:t>万元，包括：“行政运行（项）”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329.32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</w:rPr>
        <w:t>万元，主要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用于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基本支出</w:t>
      </w:r>
      <w:r>
        <w:rPr>
          <w:rFonts w:hint="eastAsia" w:ascii="MS Serif" w:hAnsi="MS Serif" w:eastAsia="仿宋_GB2312" w:cs="Times New Roman"/>
          <w:sz w:val="30"/>
          <w:szCs w:val="30"/>
        </w:rPr>
        <w:t>；“一般行政管理事务（项）”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370.00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</w:rPr>
        <w:t>万元，主要用于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各项目支出，包括能源费、物业费等项目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。</w:t>
      </w:r>
    </w:p>
    <w:p w14:paraId="35B08442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2、“城乡社区支出（类）”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1000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万元，</w:t>
      </w:r>
      <w:r>
        <w:rPr>
          <w:rFonts w:eastAsia="仿宋_GB2312"/>
          <w:sz w:val="30"/>
          <w:szCs w:val="30"/>
        </w:rPr>
        <w:t>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1000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本部门为新组建单位，2024年无预算</w:t>
      </w:r>
      <w:r>
        <w:rPr>
          <w:rFonts w:hint="eastAsia" w:eastAsia="仿宋_GB2312"/>
          <w:sz w:val="30"/>
          <w:szCs w:val="30"/>
        </w:rPr>
        <w:t>。</w:t>
      </w:r>
    </w:p>
    <w:p w14:paraId="61DC49C6"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“城乡社区公共设施（款）”</w:t>
      </w:r>
      <w:bookmarkStart w:id="9" w:name="OLE_LINK1"/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1000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万元</w:t>
      </w:r>
      <w:bookmarkEnd w:id="9"/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，包括“其他城乡社区公共设施支出（项）”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1000</w:t>
      </w:r>
      <w:r>
        <w:rPr>
          <w:rFonts w:ascii="MS Serif" w:hAnsi="MS Serif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万元，主要用于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val="en-US" w:eastAsia="zh-CN"/>
        </w:rPr>
        <w:t>基建项目支出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。</w:t>
      </w:r>
    </w:p>
    <w:p w14:paraId="28CAE40D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0" w:name="_Toc78784576"/>
      <w:r>
        <w:rPr>
          <w:rFonts w:ascii="仿宋_GB2312" w:hAnsi="Times New Roman" w:eastAsia="仿宋_GB2312"/>
          <w:b/>
          <w:sz w:val="30"/>
          <w:szCs w:val="30"/>
        </w:rPr>
        <w:t>六、</w:t>
      </w:r>
      <w:bookmarkEnd w:id="10"/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关于财政拨款一般公共预算基本支出预算表的说明</w:t>
      </w:r>
    </w:p>
    <w:p w14:paraId="7F83ECDC">
      <w:pPr>
        <w:spacing w:line="600" w:lineRule="exact"/>
        <w:ind w:firstLine="594" w:firstLineChars="19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329.32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329.32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eastAsia="zh-CN"/>
        </w:rPr>
        <w:t>本部门为新组建单位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。其中：</w:t>
      </w:r>
    </w:p>
    <w:p w14:paraId="01AB9582"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316.29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ascii="MS Serif" w:hAnsi="MS Serif" w:eastAsia="仿宋_GB2312" w:cs="Times New Roman"/>
          <w:sz w:val="30"/>
          <w:szCs w:val="30"/>
        </w:rPr>
        <w:t>基本工资、津贴补贴、机关事业单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基本养老保险缴费、职业年金缴费、职工基本医疗保险</w:t>
      </w:r>
      <w:r>
        <w:rPr>
          <w:rFonts w:hint="eastAsia" w:ascii="MS Serif" w:hAnsi="MS Serif" w:eastAsia="仿宋_GB2312" w:cs="Times New Roman"/>
          <w:sz w:val="30"/>
          <w:szCs w:val="30"/>
        </w:rPr>
        <w:t>缴费、其他社会保障缴费、住房公积金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。</w:t>
      </w:r>
    </w:p>
    <w:p w14:paraId="1BB039D8"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13.03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ascii="MS Serif" w:hAnsi="MS Serif" w:eastAsia="仿宋_GB2312" w:cs="Times New Roman"/>
          <w:sz w:val="30"/>
          <w:szCs w:val="30"/>
        </w:rPr>
        <w:t>办公费、手续费、差旅费、培训费、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委托业务</w:t>
      </w:r>
      <w:r>
        <w:rPr>
          <w:rFonts w:hint="eastAsia" w:ascii="MS Serif" w:hAnsi="MS Serif" w:eastAsia="仿宋_GB2312" w:cs="Times New Roman"/>
          <w:sz w:val="30"/>
          <w:szCs w:val="30"/>
        </w:rPr>
        <w:t>费、其他交通费用、其他商品和服务支出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。</w:t>
      </w:r>
    </w:p>
    <w:p w14:paraId="683E5153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1" w:name="_Toc78784577"/>
      <w:r>
        <w:rPr>
          <w:rFonts w:hint="eastAsia" w:ascii="仿宋_GB2312" w:hAnsi="Times New Roman" w:eastAsia="仿宋_GB2312"/>
          <w:b/>
          <w:sz w:val="30"/>
          <w:szCs w:val="30"/>
        </w:rPr>
        <w:t>七、关于财政拨款一般公共预算“三公”经费支出预算表的说明</w:t>
      </w:r>
    </w:p>
    <w:p w14:paraId="00657B11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2025年一般公共预算“三公”经费安排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eastAsia="zh-CN"/>
        </w:rPr>
        <w:t>部门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 w14:paraId="614DEB3E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</w:t>
      </w:r>
      <w:r>
        <w:rPr>
          <w:rFonts w:eastAsia="仿宋_GB2312"/>
          <w:sz w:val="30"/>
          <w:szCs w:val="30"/>
        </w:rPr>
        <w:t>2025年因公出国（境）费预算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eastAsia="zh-CN"/>
        </w:rPr>
        <w:t>部门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 w14:paraId="4C7FE47E"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</w:t>
      </w:r>
      <w:r>
        <w:rPr>
          <w:rFonts w:eastAsia="仿宋_GB2312"/>
          <w:sz w:val="30"/>
          <w:szCs w:val="30"/>
        </w:rPr>
        <w:t>2025年公务用车购置及运行费预算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eastAsia="zh-CN"/>
        </w:rPr>
        <w:t>部门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eastAsia="zh-CN"/>
        </w:rPr>
        <w:t>部门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 w14:paraId="35D398B7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</w:t>
      </w:r>
      <w:r>
        <w:rPr>
          <w:rFonts w:eastAsia="仿宋_GB2312"/>
          <w:sz w:val="30"/>
          <w:szCs w:val="30"/>
        </w:rPr>
        <w:t>2025年公务接待费预算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万元，与202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  <w:u w:val="single"/>
          <w:lang w:eastAsia="zh-CN"/>
        </w:rPr>
        <w:t>部门</w:t>
      </w:r>
      <w:r>
        <w:rPr>
          <w:rFonts w:hint="eastAsia" w:ascii="MS Serif" w:hAnsi="MS Serif" w:eastAsia="仿宋_GB2312" w:cs="Times New Roman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 w14:paraId="29CB6B80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八</w:t>
      </w:r>
      <w:r>
        <w:rPr>
          <w:rFonts w:ascii="仿宋_GB2312" w:hAnsi="Times New Roman" w:eastAsia="仿宋_GB2312"/>
          <w:b/>
          <w:sz w:val="30"/>
          <w:szCs w:val="30"/>
        </w:rPr>
        <w:t>、</w:t>
      </w:r>
      <w:bookmarkEnd w:id="11"/>
      <w:r>
        <w:rPr>
          <w:rFonts w:hint="eastAsia" w:ascii="仿宋_GB2312" w:hAnsi="Times New Roman" w:eastAsia="仿宋_GB2312"/>
          <w:b/>
          <w:sz w:val="30"/>
          <w:szCs w:val="30"/>
        </w:rPr>
        <w:t>关于财政拨款政府性基金预算支出预算表的说明</w:t>
      </w:r>
    </w:p>
    <w:p w14:paraId="4EDB19F1">
      <w:pPr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（一）总体情况</w:t>
      </w:r>
    </w:p>
    <w:p w14:paraId="11321647">
      <w:pPr>
        <w:spacing w:line="560" w:lineRule="exact"/>
        <w:ind w:firstLine="600" w:firstLineChars="200"/>
        <w:jc w:val="both"/>
        <w:rPr>
          <w:rFonts w:hint="eastAsia" w:ascii="MS Serif" w:hAnsi="MS Serif" w:eastAsia="仿宋_GB2312" w:cs="Times New Roman"/>
          <w:sz w:val="30"/>
          <w:szCs w:val="30"/>
          <w:lang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MS Serif" w:hAnsi="MS Serif" w:eastAsia="仿宋_GB2312" w:cs="Times New Roman"/>
          <w:sz w:val="30"/>
          <w:szCs w:val="30"/>
        </w:rPr>
        <w:t>02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MS Serif" w:hAnsi="MS Serif" w:eastAsia="仿宋_GB2312" w:cs="Times New Roman"/>
          <w:sz w:val="30"/>
          <w:szCs w:val="30"/>
        </w:rPr>
        <w:t>年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本</w:t>
      </w:r>
      <w:r>
        <w:rPr>
          <w:rFonts w:hint="eastAsia" w:ascii="MS Serif" w:hAnsi="MS Serif" w:eastAsia="仿宋_GB2312" w:cs="Times New Roman"/>
          <w:sz w:val="30"/>
          <w:szCs w:val="30"/>
        </w:rPr>
        <w:t>部门预算中没有使用政府性基金预算安排的支出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。</w:t>
      </w:r>
    </w:p>
    <w:p w14:paraId="5AE6A60D">
      <w:pPr>
        <w:spacing w:line="600" w:lineRule="exact"/>
        <w:rPr>
          <w:rFonts w:hint="eastAsia" w:ascii="黑体" w:hAnsi="黑体" w:eastAsia="黑体"/>
          <w:b/>
          <w:sz w:val="30"/>
          <w:szCs w:val="30"/>
        </w:rPr>
      </w:pPr>
      <w:bookmarkStart w:id="12" w:name="_Toc78784578"/>
      <w:r>
        <w:rPr>
          <w:rFonts w:hint="eastAsia" w:ascii="仿宋_GB2312" w:hAnsi="Times New Roman" w:eastAsia="仿宋_GB2312"/>
          <w:b/>
          <w:sz w:val="30"/>
          <w:szCs w:val="30"/>
        </w:rPr>
        <w:t>九、</w:t>
      </w:r>
      <w:bookmarkEnd w:id="12"/>
      <w:r>
        <w:rPr>
          <w:rFonts w:hint="eastAsia" w:ascii="仿宋_GB2312" w:hAnsi="Times New Roman" w:eastAsia="仿宋_GB2312"/>
          <w:b/>
          <w:sz w:val="30"/>
          <w:szCs w:val="30"/>
        </w:rPr>
        <w:t>关于国有资本经营预算支出预算表的说明</w:t>
      </w:r>
    </w:p>
    <w:p w14:paraId="7A5C7140">
      <w:pPr>
        <w:spacing w:line="600" w:lineRule="exact"/>
        <w:ind w:left="480" w:left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（一）总体情况</w:t>
      </w:r>
    </w:p>
    <w:p w14:paraId="35F750BD">
      <w:pPr>
        <w:spacing w:line="560" w:lineRule="exact"/>
        <w:ind w:firstLine="600" w:firstLineChars="200"/>
        <w:jc w:val="both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2025年本部门预算中没有使用国有资本经营预算安排的支出。</w:t>
      </w:r>
    </w:p>
    <w:p w14:paraId="68D2C12C"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3" w:name="_Toc78784579"/>
      <w:r>
        <w:rPr>
          <w:rFonts w:hint="eastAsia" w:ascii="仿宋_GB2312" w:hAnsi="Times New Roman" w:eastAsia="仿宋_GB2312"/>
          <w:b/>
          <w:sz w:val="30"/>
          <w:szCs w:val="30"/>
        </w:rPr>
        <w:t>十、其他重要事项的情况说明</w:t>
      </w:r>
    </w:p>
    <w:p w14:paraId="1B1D3A99"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一）</w:t>
      </w:r>
      <w:r>
        <w:rPr>
          <w:rFonts w:ascii="楷体_GB2312" w:eastAsia="楷体_GB2312"/>
          <w:sz w:val="30"/>
          <w:szCs w:val="30"/>
        </w:rPr>
        <w:t>机关运行经费</w:t>
      </w:r>
      <w:bookmarkEnd w:id="13"/>
    </w:p>
    <w:p w14:paraId="17929A3E"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0"/>
          <w:szCs w:val="30"/>
        </w:rPr>
        <w:t>本部门2025年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中区管理办公室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家行政单位的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9.44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手续费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万元、差旅费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4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万元、培训费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MS Serif" w:hAnsi="MS Serif" w:eastAsia="仿宋_GB2312" w:cs="Times New Roman"/>
          <w:color w:val="000000"/>
          <w:sz w:val="30"/>
          <w:szCs w:val="30"/>
          <w:lang w:eastAsia="zh-CN"/>
        </w:rPr>
        <w:t>委托业务费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1.79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 。</w:t>
      </w:r>
    </w:p>
    <w:p w14:paraId="425D939A"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政府采购情况</w:t>
      </w:r>
    </w:p>
    <w:p w14:paraId="00EAB8E0">
      <w:pPr>
        <w:kinsoku w:val="0"/>
        <w:wordWrap w:val="0"/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本部门2025年安排政府采购预算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106.31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其中：政府采购服务支出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106.31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万元。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现场运维费项目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106.31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 w14:paraId="2A29B1C0"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三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国有资产占用情况</w:t>
      </w:r>
    </w:p>
    <w:p w14:paraId="06F48154">
      <w:pPr>
        <w:spacing w:line="580" w:lineRule="exact"/>
        <w:ind w:firstLine="600" w:firstLineChars="200"/>
        <w:jc w:val="both"/>
        <w:rPr>
          <w:rFonts w:ascii="宋体" w:cs="宋体"/>
          <w:color w:val="004080"/>
          <w:sz w:val="27"/>
          <w:szCs w:val="27"/>
          <w:lang w:val="zh-CN"/>
        </w:rPr>
      </w:pPr>
      <w:r>
        <w:rPr>
          <w:rFonts w:hint="eastAsia"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hint="eastAsia" w:eastAsia="仿宋_GB2312"/>
          <w:color w:val="000000"/>
          <w:sz w:val="30"/>
          <w:szCs w:val="30"/>
        </w:rPr>
        <w:t>4年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hint="eastAsia" w:eastAsia="仿宋_GB2312"/>
          <w:color w:val="000000"/>
          <w:sz w:val="30"/>
          <w:szCs w:val="30"/>
        </w:rPr>
        <w:t>月底，本部门各单位共有车辆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辆，其中：副部（省）级及以上领导用车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辆、主要负责人干部用车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辆、机要通信用车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辆、应急保障用车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辆、执法执勤用车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辆、离退休干部服务用车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辆、其他用车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辆，其他用车主要包括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hint="eastAsia" w:eastAsia="仿宋_GB2312"/>
          <w:color w:val="000000"/>
          <w:sz w:val="30"/>
          <w:szCs w:val="30"/>
        </w:rPr>
        <w:t>万以上的设备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台（套）。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14:paraId="1C266DCB"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四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预算绩效情况说明</w:t>
      </w:r>
    </w:p>
    <w:p w14:paraId="197A8C2A"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本部门2025年实行绩效目标管理的项目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14:paraId="07274E34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1370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 w14:paraId="3400C7DE"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 w14:paraId="2F2A4BDC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4" w:name="_Toc78784585"/>
    </w:p>
    <w:p w14:paraId="5DC1EC68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0FCCAF81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6A6971D0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741ABACB"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4"/>
    </w:p>
    <w:p w14:paraId="4D4F3D5B"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1.</w:t>
      </w:r>
      <w:r>
        <w:rPr>
          <w:rFonts w:hint="eastAsia" w:eastAsia="楷体_GB2312"/>
          <w:b/>
          <w:sz w:val="30"/>
          <w:szCs w:val="30"/>
        </w:rPr>
        <w:t>部门预算。</w:t>
      </w:r>
      <w:r>
        <w:rPr>
          <w:rFonts w:hint="eastAsia" w:eastAsia="仿宋_GB2312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55948175"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2.</w:t>
      </w:r>
      <w:r>
        <w:rPr>
          <w:rFonts w:eastAsia="楷体_GB2312"/>
          <w:b/>
          <w:sz w:val="30"/>
          <w:szCs w:val="30"/>
        </w:rPr>
        <w:t xml:space="preserve"> 机关运行经费</w:t>
      </w:r>
      <w:r>
        <w:rPr>
          <w:rFonts w:hint="eastAsia" w:eastAsia="楷体_GB2312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 w14:paraId="0CCDCA79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7B9C9C9B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627E4B3C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53D648D0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0C7153F7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5BB702F5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45C62447"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 w14:paraId="655C96E7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14:paraId="2DD37C4A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5D4CF015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39B86C54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 w14:paraId="2F4A4C5A"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2025年部门预算表</w:t>
      </w:r>
    </w:p>
    <w:p w14:paraId="3694E91F">
      <w:pPr>
        <w:spacing w:line="600" w:lineRule="exact"/>
        <w:ind w:firstLine="594" w:firstLineChars="198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2025年收支预算总表</w:t>
      </w:r>
    </w:p>
    <w:p w14:paraId="3E253B17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2025年收入预算总表</w:t>
      </w:r>
    </w:p>
    <w:p w14:paraId="0608A93D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2025年支出预算总表</w:t>
      </w:r>
    </w:p>
    <w:p w14:paraId="03D621F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2025年财政拨款收支预算总表</w:t>
      </w:r>
    </w:p>
    <w:p w14:paraId="17D8E4B8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2025年财政拨款一般公共预算支出预算表</w:t>
      </w:r>
    </w:p>
    <w:p w14:paraId="5F63275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2025年财政拨款一般公共预算基本支出预算表</w:t>
      </w:r>
    </w:p>
    <w:p w14:paraId="4A951D49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七、2025年财政拨款一般公共预算“三公”经费支出预算表</w:t>
      </w:r>
    </w:p>
    <w:p w14:paraId="7A4A9738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2025年财政拨款政府性基金预算支出预算表</w:t>
      </w:r>
    </w:p>
    <w:p w14:paraId="32AD4EB8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九、2025年国有资本经营预算支出预算表</w:t>
      </w:r>
    </w:p>
    <w:p w14:paraId="1D0EF17C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2025年项目支出预算表</w:t>
      </w:r>
    </w:p>
    <w:p w14:paraId="4D280E17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2025年财政拨款政府采购预算表</w:t>
      </w:r>
    </w:p>
    <w:p w14:paraId="11F926DC">
      <w:pPr>
        <w:spacing w:line="560" w:lineRule="exact"/>
        <w:ind w:left="480" w:leftChars="200" w:firstLine="147" w:firstLineChars="4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十二、关于空表的说明</w:t>
      </w:r>
      <w:r>
        <w:rPr>
          <w:rFonts w:hint="eastAsia" w:eastAsia="仿宋_GB2312"/>
          <w:sz w:val="30"/>
          <w:szCs w:val="30"/>
        </w:rPr>
        <w:tab/>
      </w:r>
    </w:p>
    <w:p w14:paraId="755E1E2C"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1.</w:t>
      </w:r>
      <w:r>
        <w:rPr>
          <w:rFonts w:hint="eastAsia" w:eastAsia="仿宋_GB2312"/>
          <w:sz w:val="30"/>
          <w:szCs w:val="30"/>
        </w:rPr>
        <w:t>本部门2025年一般公共预算“三公”经费支出情况表为空表。</w:t>
      </w:r>
    </w:p>
    <w:p w14:paraId="5AF1CDA3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2.</w:t>
      </w:r>
      <w:r>
        <w:rPr>
          <w:rFonts w:hint="eastAsia"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2025年</w:t>
      </w:r>
      <w:r>
        <w:rPr>
          <w:rFonts w:hint="eastAsia" w:eastAsia="仿宋_GB2312"/>
          <w:sz w:val="30"/>
          <w:szCs w:val="30"/>
        </w:rPr>
        <w:t>政府性基金预算支出情况表为空表。</w:t>
      </w:r>
    </w:p>
    <w:p w14:paraId="1DC8B245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3.</w:t>
      </w:r>
      <w:r>
        <w:rPr>
          <w:rFonts w:hint="eastAsia"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2025年</w:t>
      </w:r>
      <w:r>
        <w:rPr>
          <w:rFonts w:hint="eastAsia" w:eastAsia="仿宋_GB2312"/>
          <w:sz w:val="30"/>
          <w:szCs w:val="30"/>
        </w:rPr>
        <w:t>国有资本经营预算支出情况表为空表。</w:t>
      </w: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Segoe Prin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950D4">
    <w:pPr>
      <w:pStyle w:val="6"/>
      <w:ind w:right="360" w:firstLine="360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BF7F5F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DC324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A7F10B6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A33B">
    <w:pPr>
      <w:pStyle w:val="6"/>
      <w:jc w:val="center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C47A67">
                <w:pPr>
                  <w:pStyle w:val="6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  <w:p w14:paraId="037B754E"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AAF6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A1284"/>
    <w:multiLevelType w:val="singleLevel"/>
    <w:tmpl w:val="F89A12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iMjBjMzk3MGVmMGFjOTRlMTE2N2NlY2Q1NGZhMGEifQ=="/>
  </w:docVars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73A58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8650C34"/>
    <w:rsid w:val="088C7F8F"/>
    <w:rsid w:val="094F7E96"/>
    <w:rsid w:val="0A2A0C52"/>
    <w:rsid w:val="0CED0BB4"/>
    <w:rsid w:val="0EF46096"/>
    <w:rsid w:val="124F1AB0"/>
    <w:rsid w:val="165D42BA"/>
    <w:rsid w:val="196C21C4"/>
    <w:rsid w:val="19B36A42"/>
    <w:rsid w:val="1D681DEC"/>
    <w:rsid w:val="21295FD6"/>
    <w:rsid w:val="23D3210A"/>
    <w:rsid w:val="242B219E"/>
    <w:rsid w:val="244E6320"/>
    <w:rsid w:val="245F0FC8"/>
    <w:rsid w:val="268758BC"/>
    <w:rsid w:val="27010B22"/>
    <w:rsid w:val="274347F8"/>
    <w:rsid w:val="29D84B76"/>
    <w:rsid w:val="2B8F74B6"/>
    <w:rsid w:val="2D9F2DE1"/>
    <w:rsid w:val="3557428F"/>
    <w:rsid w:val="35B63973"/>
    <w:rsid w:val="36820344"/>
    <w:rsid w:val="37E1553E"/>
    <w:rsid w:val="3D407E3C"/>
    <w:rsid w:val="3FCB28EB"/>
    <w:rsid w:val="40956B0D"/>
    <w:rsid w:val="40EC4A9A"/>
    <w:rsid w:val="420D7D7C"/>
    <w:rsid w:val="461D61A6"/>
    <w:rsid w:val="4C115F9A"/>
    <w:rsid w:val="4E1E02D7"/>
    <w:rsid w:val="4E726A98"/>
    <w:rsid w:val="4F204931"/>
    <w:rsid w:val="50B26176"/>
    <w:rsid w:val="55915A57"/>
    <w:rsid w:val="5721105B"/>
    <w:rsid w:val="59CF2FF0"/>
    <w:rsid w:val="59E85AEA"/>
    <w:rsid w:val="5FD56E87"/>
    <w:rsid w:val="60A85C63"/>
    <w:rsid w:val="61B9080E"/>
    <w:rsid w:val="64EF2799"/>
    <w:rsid w:val="66D25ECE"/>
    <w:rsid w:val="684828EC"/>
    <w:rsid w:val="68CD2DF1"/>
    <w:rsid w:val="693A5856"/>
    <w:rsid w:val="69B11082"/>
    <w:rsid w:val="6A2D5246"/>
    <w:rsid w:val="6EDF6561"/>
    <w:rsid w:val="6F190B3E"/>
    <w:rsid w:val="73A66718"/>
    <w:rsid w:val="73A82400"/>
    <w:rsid w:val="748F20DD"/>
    <w:rsid w:val="74A215D5"/>
    <w:rsid w:val="74D65352"/>
    <w:rsid w:val="77EFDD89"/>
    <w:rsid w:val="79C63670"/>
    <w:rsid w:val="7A28257D"/>
    <w:rsid w:val="7BC40083"/>
    <w:rsid w:val="7D140B97"/>
    <w:rsid w:val="7ECE503D"/>
    <w:rsid w:val="DEFFAB64"/>
    <w:rsid w:val="F51C3534"/>
    <w:rsid w:val="FFEFA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page number"/>
    <w:uiPriority w:val="0"/>
  </w:style>
  <w:style w:type="character" w:customStyle="1" w:styleId="13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uiPriority w:val="9"/>
    <w:rPr>
      <w:rFonts w:ascii="Cambria" w:hAnsi="Cambria"/>
      <w:b/>
      <w:bCs/>
      <w:sz w:val="32"/>
      <w:szCs w:val="32"/>
    </w:rPr>
  </w:style>
  <w:style w:type="character" w:customStyle="1" w:styleId="15">
    <w:name w:val="批注框文本 Char"/>
    <w:link w:val="5"/>
    <w:uiPriority w:val="0"/>
    <w:rPr>
      <w:sz w:val="18"/>
      <w:szCs w:val="18"/>
    </w:rPr>
  </w:style>
  <w:style w:type="character" w:customStyle="1" w:styleId="16">
    <w:name w:val="页脚 Char"/>
    <w:link w:val="6"/>
    <w:uiPriority w:val="99"/>
    <w:rPr>
      <w:sz w:val="18"/>
      <w:szCs w:val="18"/>
    </w:rPr>
  </w:style>
  <w:style w:type="paragraph" w:customStyle="1" w:styleId="17">
    <w:name w:val="Char Char"/>
    <w:basedOn w:val="4"/>
    <w:uiPriority w:val="0"/>
    <w:pPr>
      <w:adjustRightInd/>
      <w:spacing w:line="240" w:lineRule="auto"/>
      <w:jc w:val="both"/>
      <w:textAlignment w:val="auto"/>
    </w:pPr>
  </w:style>
  <w:style w:type="paragraph" w:styleId="18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3240</Words>
  <Characters>3653</Characters>
  <Lines>34</Lines>
  <Paragraphs>9</Paragraphs>
  <TotalTime>5.33333333333333</TotalTime>
  <ScaleCrop>false</ScaleCrop>
  <LinksUpToDate>false</LinksUpToDate>
  <CharactersWithSpaces>3915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2024-02-23T17:39:00Z</dcterms:created>
  <dc:creator>朱春礼</dc:creator>
  <cp:lastModifiedBy>Ling</cp:lastModifiedBy>
  <cp:lastPrinted>2025-02-06T14:42:00Z</cp:lastPrinted>
  <dcterms:modified xsi:type="dcterms:W3CDTF">2025-02-14T02:54:07Z</dcterms:modified>
  <dc:title>附件1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34B7E68ED85645B88A104BE65766AF9D_13</vt:lpwstr>
  </property>
</Properties>
</file>