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  <w:lang w:val="en-US" w:eastAsia="zh-CN"/>
        </w:rPr>
        <w:t>天津经济技术开发区财务中心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8"/>
          <w:szCs w:val="48"/>
        </w:rPr>
        <w:t>2025年部门预算</w:t>
      </w:r>
    </w:p>
    <w:p>
      <w:pPr>
        <w:spacing w:line="240" w:lineRule="auto"/>
        <w:jc w:val="center"/>
        <w:rPr>
          <w:rFonts w:hint="eastAsia" w:ascii="方正小标宋简体" w:hAnsi="方正小标宋简体" w:eastAsia="方正小标宋简体" w:cs="方正小标宋简体"/>
          <w:w w:val="95"/>
          <w:sz w:val="48"/>
          <w:szCs w:val="48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30"/>
          <w:szCs w:val="30"/>
        </w:rPr>
      </w:pPr>
    </w:p>
    <w:p>
      <w:pPr>
        <w:spacing w:line="58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600" w:lineRule="exact"/>
        <w:jc w:val="center"/>
        <w:rPr>
          <w:rFonts w:hint="eastAsia"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目   录</w:t>
      </w:r>
    </w:p>
    <w:p>
      <w:pPr>
        <w:spacing w:line="600" w:lineRule="exact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第一部分  概 况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一、主要职责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二、机构设置情况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第二部分  2025年部门预算情况说明</w:t>
      </w:r>
    </w:p>
    <w:p>
      <w:pPr>
        <w:spacing w:line="600" w:lineRule="exact"/>
        <w:ind w:firstLine="594" w:firstLineChars="198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一、关于收支预算总表的说明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二、关于收入预算总表的说明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三、关于支出预算总表的说明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四、关于财政拨款收支预算总表的说明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五、关于财政拨款一般公共预算支出预算表的说明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六、关于财政拨款一般公共预算基本支出预算表的说明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</w:t>
      </w:r>
      <w:r>
        <w:rPr>
          <w:rFonts w:hint="eastAsia" w:ascii="仿宋_GB2312" w:hAnsi="Times New Roman" w:eastAsia="仿宋_GB2312"/>
          <w:spacing w:val="-20"/>
          <w:sz w:val="30"/>
          <w:szCs w:val="30"/>
        </w:rPr>
        <w:t>关于财政拨款一般公共预算“三公”经费支出预算表的说明</w:t>
      </w:r>
    </w:p>
    <w:p>
      <w:pPr>
        <w:spacing w:line="600" w:lineRule="exact"/>
        <w:ind w:left="1200" w:leftChars="250" w:hanging="600" w:hangingChars="200"/>
        <w:rPr>
          <w:rFonts w:hint="eastAsia" w:ascii="仿宋_GB2312" w:hAnsi="Times New Roman" w:eastAsia="仿宋_GB2312"/>
          <w:spacing w:val="-20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八、关于财政拨款政府性基金预算支出预算表的说明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九、关于国有资本经营预算支出预算表的说明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十、其他重要事项的情况说明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第三部分  名词解释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第四部分  2025年部门预算表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一、</w:t>
      </w:r>
      <w:r>
        <w:rPr>
          <w:rFonts w:ascii="仿宋_GB2312" w:hAnsi="Times New Roman" w:eastAsia="仿宋_GB2312"/>
          <w:sz w:val="30"/>
          <w:szCs w:val="30"/>
        </w:rPr>
        <w:t>2025年收支预算总表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二、</w:t>
      </w:r>
      <w:r>
        <w:rPr>
          <w:rFonts w:ascii="仿宋_GB2312" w:hAnsi="Times New Roman" w:eastAsia="仿宋_GB2312"/>
          <w:sz w:val="30"/>
          <w:szCs w:val="30"/>
        </w:rPr>
        <w:t>2025年收入预算总表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三、</w:t>
      </w:r>
      <w:r>
        <w:rPr>
          <w:rFonts w:ascii="仿宋_GB2312" w:hAnsi="Times New Roman" w:eastAsia="仿宋_GB2312"/>
          <w:sz w:val="30"/>
          <w:szCs w:val="30"/>
        </w:rPr>
        <w:t>2025年支出预算总表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四、</w:t>
      </w:r>
      <w:r>
        <w:rPr>
          <w:rFonts w:ascii="仿宋_GB2312" w:hAnsi="Times New Roman" w:eastAsia="仿宋_GB2312"/>
          <w:sz w:val="30"/>
          <w:szCs w:val="30"/>
        </w:rPr>
        <w:t>2025年财政拨款收支预算总表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五、</w:t>
      </w:r>
      <w:r>
        <w:rPr>
          <w:rFonts w:ascii="仿宋_GB2312" w:hAnsi="Times New Roman" w:eastAsia="仿宋_GB2312"/>
          <w:sz w:val="30"/>
          <w:szCs w:val="30"/>
        </w:rPr>
        <w:t>2025年财政拨款一般公共预算支出预算表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六、</w:t>
      </w:r>
      <w:r>
        <w:rPr>
          <w:rFonts w:ascii="仿宋_GB2312" w:hAnsi="Times New Roman" w:eastAsia="仿宋_GB2312"/>
          <w:sz w:val="30"/>
          <w:szCs w:val="30"/>
        </w:rPr>
        <w:t>2025年财政拨款一般公共预算基本支出预算表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七、2025年财政拨款一般公共预算“三公”经费支出预算表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八、</w:t>
      </w:r>
      <w:r>
        <w:rPr>
          <w:rFonts w:ascii="仿宋_GB2312" w:hAnsi="Times New Roman" w:eastAsia="仿宋_GB2312"/>
          <w:sz w:val="30"/>
          <w:szCs w:val="30"/>
        </w:rPr>
        <w:t>2025年财政拨款政府性基金预算支出预算表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九、2025年国有资本经营预算支出预算表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十、</w:t>
      </w:r>
      <w:r>
        <w:rPr>
          <w:rFonts w:ascii="仿宋_GB2312" w:hAnsi="Times New Roman" w:eastAsia="仿宋_GB2312"/>
          <w:sz w:val="30"/>
          <w:szCs w:val="30"/>
        </w:rPr>
        <w:t>2025年项目支出预算表</w:t>
      </w:r>
    </w:p>
    <w:p>
      <w:pPr>
        <w:spacing w:line="600" w:lineRule="exact"/>
        <w:ind w:firstLine="594" w:firstLineChars="198"/>
        <w:rPr>
          <w:rFonts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十一、</w:t>
      </w:r>
      <w:r>
        <w:rPr>
          <w:rFonts w:ascii="仿宋_GB2312" w:hAnsi="Times New Roman" w:eastAsia="仿宋_GB2312"/>
          <w:sz w:val="30"/>
          <w:szCs w:val="30"/>
        </w:rPr>
        <w:t>2025年财政拨款政府采购预算表</w:t>
      </w:r>
    </w:p>
    <w:p>
      <w:pPr>
        <w:spacing w:line="600" w:lineRule="exact"/>
        <w:ind w:firstLine="594" w:firstLineChars="198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Times New Roman" w:eastAsia="仿宋_GB2312"/>
          <w:sz w:val="30"/>
          <w:szCs w:val="30"/>
        </w:rPr>
        <w:t>十二、关于空表的说明</w:t>
      </w:r>
    </w:p>
    <w:p>
      <w:pPr>
        <w:pStyle w:val="8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>
          <w:headerReference r:id="rId5" w:type="default"/>
          <w:footerReference r:id="rId6" w:type="default"/>
          <w:footerReference r:id="rId7" w:type="even"/>
          <w:pgSz w:w="11907" w:h="16840"/>
          <w:pgMar w:top="2098" w:right="1474" w:bottom="1304" w:left="1588" w:header="765" w:footer="765" w:gutter="0"/>
          <w:pgNumType w:fmt="numberInDash" w:start="1"/>
          <w:cols w:space="720" w:num="1"/>
          <w:docGrid w:linePitch="326" w:charSpace="0"/>
        </w:sectPr>
      </w:pPr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bookmarkStart w:id="0" w:name="_Toc78784554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第一部分  概 况</w:t>
      </w:r>
      <w:bookmarkEnd w:id="0"/>
    </w:p>
    <w:p>
      <w:pPr>
        <w:spacing w:line="600" w:lineRule="exact"/>
        <w:rPr>
          <w:rFonts w:hint="eastAsia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1" w:name="_Toc78784555"/>
      <w:r>
        <w:rPr>
          <w:rFonts w:hint="eastAsia" w:ascii="仿宋_GB2312" w:hAnsi="Times New Roman" w:eastAsia="仿宋_GB2312"/>
          <w:b/>
          <w:sz w:val="30"/>
          <w:szCs w:val="30"/>
        </w:rPr>
        <w:t>一、主要职责</w:t>
      </w:r>
      <w:bookmarkEnd w:id="1"/>
    </w:p>
    <w:p>
      <w:pPr>
        <w:spacing w:line="580" w:lineRule="exact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bookmarkStart w:id="2" w:name="_Toc78784556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财务中心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主要职责是：</w:t>
      </w:r>
    </w:p>
    <w:p>
      <w:pPr>
        <w:spacing w:line="580" w:lineRule="exact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（一）妥善管理各核算部门银行账户，按照财政部预算管理一体化要求分户设置会计账簿，办理资金结算，定期核对账户余额，做好支付资金的稽核工作。</w:t>
      </w:r>
    </w:p>
    <w:p>
      <w:pPr>
        <w:spacing w:line="580" w:lineRule="exact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（二）审核各核算部门的原始凭证、编制记账凭证，登记相关会计账簿。</w:t>
      </w:r>
    </w:p>
    <w:p>
      <w:pPr>
        <w:spacing w:line="580" w:lineRule="exact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（三）根据政府会计制度，按月出具相关财务报表，协助各核算部门分析财务收支情况。</w:t>
      </w:r>
    </w:p>
    <w:p>
      <w:pPr>
        <w:spacing w:line="580" w:lineRule="exact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（四）按照组织人事部门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核定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结果，配合完成管委会内设部门及专业工作机构授薪内职工薪资发放业务。</w:t>
      </w:r>
    </w:p>
    <w:p>
      <w:pPr>
        <w:spacing w:line="580" w:lineRule="exact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（五）按照《会计档案管理办法》要求，代各核算部门保管会计档案。</w:t>
      </w:r>
    </w:p>
    <w:p>
      <w:pPr>
        <w:spacing w:line="580" w:lineRule="exact"/>
        <w:ind w:firstLine="56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（六）承办党委、管委会及上级部门交办的其他事项。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二、机构设置</w:t>
      </w:r>
      <w:bookmarkEnd w:id="2"/>
      <w:r>
        <w:rPr>
          <w:rFonts w:hint="eastAsia" w:ascii="仿宋_GB2312" w:hAnsi="Times New Roman" w:eastAsia="仿宋_GB2312"/>
          <w:b/>
          <w:sz w:val="30"/>
          <w:szCs w:val="30"/>
        </w:rPr>
        <w:t>情况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auto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财务中心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内设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个职能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科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室；下辖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个预算单位。</w:t>
      </w:r>
    </w:p>
    <w:p>
      <w:pPr>
        <w:spacing w:line="600" w:lineRule="exact"/>
        <w:jc w:val="both"/>
        <w:rPr>
          <w:rFonts w:hint="eastAsia" w:eastAsia="黑体"/>
          <w:w w:val="95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纳入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财务中心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年部门预算编制范围的预算单位包括：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财务中心本级。</w:t>
      </w:r>
    </w:p>
    <w:p>
      <w:pPr>
        <w:pStyle w:val="2"/>
        <w:keepNext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3" w:name="_Toc78784570"/>
    </w:p>
    <w:p>
      <w:pPr>
        <w:pStyle w:val="2"/>
        <w:spacing w:line="600" w:lineRule="exact"/>
        <w:jc w:val="center"/>
        <w:rPr>
          <w:rFonts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>第</w:t>
      </w: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二</w:t>
      </w:r>
      <w:r>
        <w:rPr>
          <w:rFonts w:ascii="方正小标宋简体" w:hAnsi="方正小标宋简体" w:eastAsia="方正小标宋简体" w:cs="方正小标宋简体"/>
          <w:b w:val="0"/>
          <w:sz w:val="48"/>
          <w:szCs w:val="48"/>
        </w:rPr>
        <w:t xml:space="preserve">部分  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2025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年部门</w:t>
      </w:r>
      <w:r>
        <w:rPr>
          <w:rFonts w:hint="eastAsia"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预算情况</w:t>
      </w:r>
      <w:r>
        <w:rPr>
          <w:rFonts w:ascii="方正小标宋简体" w:hAnsi="方正小标宋简体" w:eastAsia="方正小标宋简体" w:cs="方正小标宋简体"/>
          <w:b w:val="0"/>
          <w:spacing w:val="-20"/>
          <w:sz w:val="48"/>
          <w:szCs w:val="48"/>
        </w:rPr>
        <w:t>说明</w:t>
      </w:r>
      <w:bookmarkEnd w:id="3"/>
    </w:p>
    <w:p>
      <w:pPr>
        <w:spacing w:line="600" w:lineRule="exact"/>
        <w:ind w:firstLine="600" w:firstLineChars="200"/>
        <w:rPr>
          <w:rFonts w:hint="eastAsia" w:ascii="黑体" w:eastAsia="黑体"/>
          <w:sz w:val="30"/>
          <w:szCs w:val="30"/>
        </w:rPr>
      </w:pP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4" w:name="_Toc78784571"/>
      <w:r>
        <w:rPr>
          <w:rFonts w:hint="eastAsia" w:ascii="仿宋_GB2312" w:hAnsi="Times New Roman" w:eastAsia="仿宋_GB2312"/>
          <w:b/>
          <w:sz w:val="30"/>
          <w:szCs w:val="30"/>
        </w:rPr>
        <w:t>一、</w:t>
      </w:r>
      <w:bookmarkEnd w:id="4"/>
      <w:r>
        <w:rPr>
          <w:rFonts w:hint="eastAsia" w:ascii="仿宋_GB2312" w:hAnsi="Times New Roman" w:eastAsia="仿宋_GB2312"/>
          <w:b/>
          <w:sz w:val="30"/>
          <w:szCs w:val="30"/>
        </w:rPr>
        <w:t>关于收支预算总表的说明</w:t>
      </w:r>
    </w:p>
    <w:p>
      <w:pPr>
        <w:spacing w:line="600" w:lineRule="exact"/>
        <w:ind w:firstLine="420" w:firstLineChars="150"/>
        <w:rPr>
          <w:rFonts w:hint="eastAsia" w:ascii="仿宋_GB2312" w:hAnsi="Times New Roman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按照综合预算的原则，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所有收入和支出均纳入部门预算管理。收入包括：一般公共预算拨款收入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万元、政府性基金预算拨款收入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万元、国有资本经营预算拨款收入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万元、纳入财政专户的教育收费拨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款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万元、其他事业收入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万元、经营收入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万元、上级补助收入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万元、附属单位上缴收入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万元、其他收入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元、上年结转和结余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万元；支出包括：一般公共服务支出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万元、公共安全支出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本</w:t>
      </w:r>
      <w:r>
        <w:rPr>
          <w:rFonts w:hint="eastAsia" w:ascii="仿宋_GB2312" w:hAnsi="仿宋_GB2312" w:eastAsia="仿宋_GB2312" w:cs="仿宋_GB2312"/>
          <w:sz w:val="30"/>
          <w:szCs w:val="30"/>
        </w:rPr>
        <w:t>部门202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年收支总预算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5" w:name="_Toc78784572"/>
      <w:r>
        <w:rPr>
          <w:rFonts w:hint="eastAsia" w:ascii="仿宋_GB2312" w:hAnsi="Times New Roman" w:eastAsia="仿宋_GB2312"/>
          <w:b/>
          <w:sz w:val="30"/>
          <w:szCs w:val="30"/>
        </w:rPr>
        <w:t>二、</w:t>
      </w:r>
      <w:bookmarkEnd w:id="5"/>
      <w:r>
        <w:rPr>
          <w:rFonts w:hint="eastAsia" w:ascii="仿宋_GB2312" w:hAnsi="Times New Roman" w:eastAsia="仿宋_GB2312"/>
          <w:b/>
          <w:sz w:val="30"/>
          <w:szCs w:val="30"/>
        </w:rPr>
        <w:t>关于收入预算总表的说明</w:t>
      </w:r>
    </w:p>
    <w:p>
      <w:pPr>
        <w:spacing w:line="600" w:lineRule="exact"/>
        <w:ind w:firstLine="600" w:firstLineChars="200"/>
        <w:rPr>
          <w:rFonts w:hint="eastAsia" w:ascii="仿宋_GB2312" w:hAnsi="Times New Roman" w:eastAsia="仿宋_GB2312"/>
          <w:b/>
          <w:sz w:val="30"/>
          <w:szCs w:val="30"/>
        </w:rPr>
      </w:pPr>
      <w:bookmarkStart w:id="6" w:name="_Toc78784573"/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eastAsia="zh-CN"/>
        </w:rPr>
        <w:t>本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</w:rPr>
        <w:t>部门</w:t>
      </w:r>
      <w:r>
        <w:rPr>
          <w:rFonts w:hint="eastAsia" w:ascii="仿宋_GB2312" w:hAnsi="仿宋_GB2312" w:eastAsia="仿宋_GB2312" w:cs="仿宋_GB2312"/>
          <w:sz w:val="30"/>
          <w:szCs w:val="30"/>
        </w:rPr>
        <w:t>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年部门预算收入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35.92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按“过紧日子”要求，严格控制经费支出  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。其中：上年结转和结余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%；一般公共预算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100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%；政府性基金预算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%；国有资本经营预算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%；纳入财政专户的教育收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费拨款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%；其他事业收入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</w:rPr>
        <w:t>%；经营收入</w:t>
      </w:r>
      <w:r>
        <w:rPr>
          <w:rFonts w:hint="eastAsia" w:ascii="仿宋_GB2312" w:hAnsi="仿宋_GB2312" w:eastAsia="仿宋_GB2312" w:cs="仿宋_GB2312"/>
          <w:spacing w:val="-20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%；上级补助收入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%；附属单位上缴收入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%；其他收入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三、</w:t>
      </w:r>
      <w:bookmarkEnd w:id="6"/>
      <w:r>
        <w:rPr>
          <w:rFonts w:hint="eastAsia" w:ascii="仿宋_GB2312" w:hAnsi="Times New Roman" w:eastAsia="仿宋_GB2312"/>
          <w:b/>
          <w:sz w:val="30"/>
          <w:szCs w:val="30"/>
        </w:rPr>
        <w:t>关于支出预算总表的说明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本部门2025年支出预算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35.92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按“过紧日子”要求，严格控制经费支出  </w:t>
      </w:r>
      <w:r>
        <w:rPr>
          <w:rFonts w:hint="eastAsia" w:ascii="仿宋_GB2312" w:hAnsi="仿宋_GB2312" w:eastAsia="仿宋_GB2312" w:cs="仿宋_GB2312"/>
          <w:sz w:val="30"/>
          <w:szCs w:val="30"/>
        </w:rPr>
        <w:t>。其中：基本支出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%；项目支出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%；事业单位经营支出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%；上缴上级支出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%；对附属单位补助支出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 xml:space="preserve">%。 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7" w:name="_Toc78784574"/>
      <w:r>
        <w:rPr>
          <w:rFonts w:hint="eastAsia" w:ascii="仿宋_GB2312" w:hAnsi="Times New Roman" w:eastAsia="仿宋_GB2312"/>
          <w:b/>
          <w:sz w:val="30"/>
          <w:szCs w:val="30"/>
        </w:rPr>
        <w:t>四、</w:t>
      </w:r>
      <w:bookmarkEnd w:id="7"/>
      <w:r>
        <w:rPr>
          <w:rFonts w:hint="eastAsia" w:ascii="仿宋_GB2312" w:hAnsi="Times New Roman" w:eastAsia="仿宋_GB2312"/>
          <w:b/>
          <w:sz w:val="30"/>
          <w:szCs w:val="30"/>
        </w:rPr>
        <w:t>关于财政拨款收支预算总表的说明</w:t>
      </w:r>
    </w:p>
    <w:p>
      <w:pPr>
        <w:spacing w:line="600" w:lineRule="exact"/>
        <w:ind w:firstLine="600"/>
        <w:rPr>
          <w:rFonts w:hint="eastAsia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本部门2025年财政拨款收入预算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35.92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按“过紧日子”要求，严格控制经费支出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。收入包括：一般公共预算拨款收入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627.05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万元、政府性基金预算拨款收入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万元、国有资本经营预算拨款收入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万元、上年财政结转结余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万元。2025年财政拨款支出预算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35.92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按“过紧日子”要求，严格控制经费支出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。支出包括：一般公共服务支出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万元、公共安全支出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8" w:name="_Toc78784575"/>
      <w:r>
        <w:rPr>
          <w:rFonts w:ascii="仿宋_GB2312" w:hAnsi="Times New Roman" w:eastAsia="仿宋_GB2312"/>
          <w:b/>
          <w:sz w:val="30"/>
          <w:szCs w:val="30"/>
        </w:rPr>
        <w:t>五</w:t>
      </w:r>
      <w:r>
        <w:rPr>
          <w:rFonts w:hint="eastAsia" w:ascii="仿宋_GB2312" w:hAnsi="Times New Roman" w:eastAsia="仿宋_GB2312"/>
          <w:b/>
          <w:sz w:val="30"/>
          <w:szCs w:val="30"/>
        </w:rPr>
        <w:t>、</w:t>
      </w:r>
      <w:bookmarkEnd w:id="8"/>
      <w:r>
        <w:rPr>
          <w:rFonts w:hint="eastAsia" w:ascii="仿宋_GB2312" w:hAnsi="Times New Roman" w:eastAsia="仿宋_GB2312"/>
          <w:b/>
          <w:sz w:val="30"/>
          <w:szCs w:val="30"/>
        </w:rPr>
        <w:t>关于财政拨款一般公共预算支出预算表的说明</w:t>
      </w:r>
    </w:p>
    <w:p>
      <w:pPr>
        <w:spacing w:line="580" w:lineRule="exact"/>
        <w:ind w:firstLine="600" w:firstLine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（一）总体情况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本部门2025年一般公共预算支出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万元，与2024年预算相比减少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35.92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按“过紧日子”要求，严格控制经费支出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ascii="楷体_GB2312" w:eastAsia="楷体_GB2312"/>
          <w:sz w:val="30"/>
          <w:szCs w:val="30"/>
        </w:rPr>
      </w:pPr>
      <w:r>
        <w:rPr>
          <w:rFonts w:hint="eastAsia" w:ascii="楷体_GB2312" w:eastAsia="楷体_GB2312"/>
          <w:sz w:val="30"/>
          <w:szCs w:val="30"/>
        </w:rPr>
        <w:t>（二）</w:t>
      </w:r>
      <w:r>
        <w:rPr>
          <w:rFonts w:ascii="楷体_GB2312" w:eastAsia="楷体_GB2312"/>
          <w:sz w:val="30"/>
          <w:szCs w:val="30"/>
        </w:rPr>
        <w:t>具体情况</w:t>
      </w:r>
    </w:p>
    <w:p>
      <w:pPr>
        <w:numPr>
          <w:ilvl w:val="0"/>
          <w:numId w:val="0"/>
        </w:num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“一般公共服务支出（类）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627.05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35.92  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0"/>
          <w:szCs w:val="30"/>
        </w:rPr>
        <w:t>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按“过紧日子”要求，严格控制经费支出 </w:t>
      </w:r>
      <w:r>
        <w:rPr>
          <w:rFonts w:hint="eastAsia" w:ascii="仿宋_GB2312" w:hAnsi="仿宋_GB2312" w:eastAsia="仿宋_GB2312" w:cs="仿宋_GB2312"/>
          <w:sz w:val="30"/>
          <w:szCs w:val="30"/>
        </w:rPr>
        <w:t>，其中：</w:t>
      </w:r>
    </w:p>
    <w:p>
      <w:pPr>
        <w:spacing w:line="580" w:lineRule="exact"/>
        <w:ind w:firstLine="600" w:firstLineChars="200"/>
        <w:rPr>
          <w:rFonts w:eastAsia="楷体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财政事务”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627.05</w:t>
      </w:r>
      <w:r>
        <w:rPr>
          <w:rFonts w:hint="eastAsia" w:ascii="仿宋_GB2312" w:hAnsi="仿宋_GB2312" w:eastAsia="仿宋_GB2312" w:cs="仿宋_GB2312"/>
          <w:i w:val="0"/>
          <w:iCs w:val="0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万元，包括：“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事业运行</w:t>
      </w:r>
      <w:r>
        <w:rPr>
          <w:rFonts w:hint="eastAsia" w:ascii="仿宋_GB2312" w:hAnsi="仿宋_GB2312" w:eastAsia="仿宋_GB2312" w:cs="仿宋_GB2312"/>
          <w:sz w:val="30"/>
          <w:szCs w:val="30"/>
        </w:rPr>
        <w:t>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627.05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万元，主要用于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eastAsia="zh-CN"/>
        </w:rPr>
        <w:t>本单位人员、公用经费支出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9" w:name="_Toc78784576"/>
      <w:r>
        <w:rPr>
          <w:rFonts w:ascii="仿宋_GB2312" w:hAnsi="Times New Roman" w:eastAsia="仿宋_GB2312"/>
          <w:b/>
          <w:sz w:val="30"/>
          <w:szCs w:val="30"/>
        </w:rPr>
        <w:t>六、</w:t>
      </w:r>
      <w:bookmarkEnd w:id="9"/>
      <w:r>
        <w:rPr>
          <w:rFonts w:hint="eastAsia" w:ascii="仿宋_GB2312" w:hAnsi="Times New Roman" w:eastAsia="仿宋_GB2312"/>
          <w:b/>
          <w:sz w:val="30"/>
          <w:szCs w:val="30"/>
        </w:rPr>
        <w:t>关于财政拨款一般公共预算基本支出预算表的说明</w:t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本</w:t>
      </w:r>
      <w:r>
        <w:rPr>
          <w:rFonts w:eastAsia="仿宋_GB2312"/>
          <w:sz w:val="30"/>
          <w:szCs w:val="30"/>
        </w:rPr>
        <w:t>部门一般公共预算</w:t>
      </w:r>
      <w:r>
        <w:rPr>
          <w:rFonts w:hint="eastAsia" w:eastAsia="仿宋_GB2312"/>
          <w:sz w:val="30"/>
          <w:szCs w:val="30"/>
        </w:rPr>
        <w:t>基本支出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627.05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年预算相比减少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35.92  </w:t>
      </w:r>
      <w:r>
        <w:rPr>
          <w:rFonts w:hint="eastAsia" w:ascii="Times New Roman" w:hAnsi="Times New Roman" w:eastAsia="仿宋_GB2312" w:cs="Times New Roman"/>
          <w:sz w:val="30"/>
          <w:szCs w:val="30"/>
          <w:u w:val="none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z w:val="30"/>
          <w:szCs w:val="30"/>
        </w:rPr>
        <w:t>元，主要原因是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按“过紧日子”要求，严格控制经费支出  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600" w:lineRule="exact"/>
        <w:rPr>
          <w:rFonts w:hint="eastAsia" w:eastAsia="楷体_GB2312"/>
          <w:color w:val="FF0000"/>
          <w:sz w:val="30"/>
          <w:szCs w:val="30"/>
        </w:rPr>
      </w:pPr>
      <w:bookmarkStart w:id="10" w:name="_Toc78784577"/>
      <w:r>
        <w:rPr>
          <w:rFonts w:hint="eastAsia" w:ascii="仿宋_GB2312" w:hAnsi="Times New Roman" w:eastAsia="仿宋_GB2312"/>
          <w:b/>
          <w:sz w:val="30"/>
          <w:szCs w:val="30"/>
        </w:rPr>
        <w:t>七、关于财政拨款一般公共预算“三公”经费支出预算表的说明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0"/>
          <w:szCs w:val="30"/>
        </w:rPr>
        <w:t>年一般公共预算“三公”经费安排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本部门一般公共预算未安排“三公”经费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。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具体情况：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（一）202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年因公出国（境）费预算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本部门一般公共预算未安排因公出国（境）费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。</w:t>
      </w:r>
    </w:p>
    <w:p>
      <w:pPr>
        <w:spacing w:line="600" w:lineRule="exact"/>
        <w:ind w:firstLine="645"/>
        <w:rPr>
          <w:rFonts w:hint="eastAsia" w:ascii="仿宋_GB2312" w:hAnsi="仿宋_GB2312" w:eastAsia="仿宋_GB2312" w:cs="仿宋_GB2312"/>
          <w:b/>
          <w:bCs/>
          <w:color w:val="auto"/>
          <w:sz w:val="30"/>
          <w:szCs w:val="30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（二）202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年公务用车购置及运行费预算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万元，其中公务用车运行费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本部门一般公共预算未安排公务用车运行费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；公务用车购置费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本部门一般公共预算未安排公务用车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购置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费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。</w:t>
      </w:r>
    </w:p>
    <w:p>
      <w:pPr>
        <w:spacing w:line="600" w:lineRule="exact"/>
        <w:ind w:firstLine="645"/>
        <w:rPr>
          <w:rFonts w:hint="eastAsia" w:eastAsia="楷体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（三）202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年公务接待费预算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万元，与202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0"/>
          <w:szCs w:val="30"/>
        </w:rPr>
        <w:t>年预算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持平</w:t>
      </w:r>
      <w:r>
        <w:rPr>
          <w:rFonts w:hint="eastAsia" w:ascii="仿宋_GB2312" w:hAnsi="仿宋_GB2312" w:eastAsia="仿宋_GB2312" w:cs="仿宋_GB2312"/>
          <w:sz w:val="30"/>
          <w:szCs w:val="30"/>
        </w:rPr>
        <w:t>，主要原因是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</w:rPr>
        <w:t>本部门一般公共预算未安排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u w:val="single"/>
          <w:lang w:val="en-US" w:eastAsia="zh-CN"/>
        </w:rPr>
        <w:t>公务接待费。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r>
        <w:rPr>
          <w:rFonts w:hint="eastAsia" w:ascii="仿宋_GB2312" w:hAnsi="Times New Roman" w:eastAsia="仿宋_GB2312"/>
          <w:b/>
          <w:sz w:val="30"/>
          <w:szCs w:val="30"/>
        </w:rPr>
        <w:t>八</w:t>
      </w:r>
      <w:r>
        <w:rPr>
          <w:rFonts w:ascii="仿宋_GB2312" w:hAnsi="Times New Roman" w:eastAsia="仿宋_GB2312"/>
          <w:b/>
          <w:sz w:val="30"/>
          <w:szCs w:val="30"/>
        </w:rPr>
        <w:t>、</w:t>
      </w:r>
      <w:bookmarkEnd w:id="10"/>
      <w:r>
        <w:rPr>
          <w:rFonts w:hint="eastAsia" w:ascii="仿宋_GB2312" w:hAnsi="Times New Roman" w:eastAsia="仿宋_GB2312"/>
          <w:b/>
          <w:sz w:val="30"/>
          <w:szCs w:val="30"/>
        </w:rPr>
        <w:t>关于财政拨款政府性基金预算支出预算表的说明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2025年本部门预算中没有使用政府性基金预算安排的支出。</w:t>
      </w:r>
    </w:p>
    <w:p>
      <w:pPr>
        <w:spacing w:line="600" w:lineRule="exact"/>
        <w:rPr>
          <w:rFonts w:hint="eastAsia" w:ascii="黑体" w:hAnsi="黑体" w:eastAsia="黑体"/>
          <w:b/>
          <w:sz w:val="30"/>
          <w:szCs w:val="30"/>
        </w:rPr>
      </w:pPr>
      <w:bookmarkStart w:id="11" w:name="_Toc78784578"/>
      <w:r>
        <w:rPr>
          <w:rFonts w:hint="eastAsia" w:ascii="仿宋_GB2312" w:hAnsi="Times New Roman" w:eastAsia="仿宋_GB2312"/>
          <w:b/>
          <w:sz w:val="30"/>
          <w:szCs w:val="30"/>
        </w:rPr>
        <w:t>九、</w:t>
      </w:r>
      <w:bookmarkEnd w:id="11"/>
      <w:r>
        <w:rPr>
          <w:rFonts w:hint="eastAsia" w:ascii="仿宋_GB2312" w:hAnsi="Times New Roman" w:eastAsia="仿宋_GB2312"/>
          <w:b/>
          <w:sz w:val="30"/>
          <w:szCs w:val="30"/>
        </w:rPr>
        <w:t>关于国有资本经营预算支出预算表的说明</w:t>
      </w:r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2025年本部门预算中没有使用国有资本经营预算预算安排的支出。</w:t>
      </w:r>
    </w:p>
    <w:p>
      <w:pPr>
        <w:spacing w:line="600" w:lineRule="exact"/>
        <w:rPr>
          <w:rFonts w:hint="eastAsia" w:ascii="仿宋_GB2312" w:hAnsi="Times New Roman" w:eastAsia="仿宋_GB2312"/>
          <w:b/>
          <w:sz w:val="30"/>
          <w:szCs w:val="30"/>
        </w:rPr>
      </w:pPr>
      <w:bookmarkStart w:id="12" w:name="_Toc78784579"/>
      <w:r>
        <w:rPr>
          <w:rFonts w:hint="eastAsia" w:ascii="仿宋_GB2312" w:hAnsi="Times New Roman" w:eastAsia="仿宋_GB2312"/>
          <w:b/>
          <w:sz w:val="30"/>
          <w:szCs w:val="30"/>
        </w:rPr>
        <w:t>十、其他重要事项的情况说明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hint="eastAsia" w:ascii="楷体" w:hAnsi="楷体" w:eastAsia="楷体" w:cs="仿宋_GB2312"/>
          <w:b/>
          <w:sz w:val="30"/>
          <w:szCs w:val="30"/>
        </w:rPr>
        <w:t>（</w:t>
      </w:r>
      <w:r>
        <w:rPr>
          <w:rFonts w:hint="eastAsia" w:ascii="楷体_GB2312" w:eastAsia="楷体_GB2312"/>
          <w:sz w:val="30"/>
          <w:szCs w:val="30"/>
        </w:rPr>
        <w:t>一）</w:t>
      </w:r>
      <w:r>
        <w:rPr>
          <w:rFonts w:ascii="楷体_GB2312" w:eastAsia="楷体_GB2312"/>
          <w:sz w:val="30"/>
          <w:szCs w:val="30"/>
        </w:rPr>
        <w:t>机关运行经费</w:t>
      </w:r>
      <w:bookmarkEnd w:id="12"/>
    </w:p>
    <w:p>
      <w:pPr>
        <w:spacing w:line="60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0"/>
          <w:szCs w:val="30"/>
        </w:rPr>
        <w:t>年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未安排</w:t>
      </w:r>
      <w:r>
        <w:rPr>
          <w:rFonts w:hint="eastAsia" w:ascii="仿宋_GB2312" w:hAnsi="仿宋_GB2312" w:eastAsia="仿宋_GB2312" w:cs="仿宋_GB2312"/>
          <w:sz w:val="30"/>
          <w:szCs w:val="30"/>
        </w:rPr>
        <w:t>机关运行经费</w:t>
      </w: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预算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。</w:t>
      </w:r>
    </w:p>
    <w:p>
      <w:pPr>
        <w:spacing w:line="600" w:lineRule="exact"/>
        <w:ind w:left="480" w:leftChars="200"/>
        <w:rPr>
          <w:rFonts w:hint="eastAsia" w:ascii="仿宋_GB2312" w:hAnsi="仿宋_GB2312" w:eastAsia="仿宋_GB2312" w:cs="仿宋_GB2312"/>
          <w:b/>
          <w:sz w:val="30"/>
          <w:szCs w:val="30"/>
        </w:rPr>
      </w:pPr>
      <w:r>
        <w:rPr>
          <w:rFonts w:hint="eastAsia" w:ascii="仿宋_GB2312" w:hAnsi="仿宋_GB2312" w:eastAsia="仿宋_GB2312" w:cs="仿宋_GB2312"/>
          <w:b/>
          <w:sz w:val="30"/>
          <w:szCs w:val="30"/>
        </w:rPr>
        <w:t>（二）政府采购情况</w:t>
      </w:r>
    </w:p>
    <w:p>
      <w:pPr>
        <w:kinsoku w:val="0"/>
        <w:wordWrap w:val="0"/>
        <w:spacing w:line="580" w:lineRule="exact"/>
        <w:ind w:firstLine="600" w:firstLineChars="200"/>
        <w:rPr>
          <w:rFonts w:hint="eastAsia" w:ascii="仿宋_GB2312" w:hAnsi="仿宋_GB2312" w:eastAsia="仿宋_GB2312" w:cs="仿宋_GB2312"/>
          <w:color w:val="FF0000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本部门2025年安排政府采购预算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其中：政府采购货物支出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0.7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万元、政府采购</w:t>
      </w:r>
      <w:r>
        <w:rPr>
          <w:rFonts w:hint="eastAsia" w:ascii="仿宋_GB2312" w:hAnsi="仿宋_GB2312" w:eastAsia="仿宋_GB2312" w:cs="仿宋_GB2312"/>
          <w:sz w:val="30"/>
          <w:szCs w:val="30"/>
        </w:rPr>
        <w:t>工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程支出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万元、政府采购服务支出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万元。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主要项目是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val="en-US" w:eastAsia="zh-CN"/>
        </w:rPr>
        <w:t>公用定额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0.7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万元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lang w:eastAsia="zh-CN"/>
        </w:rPr>
        <w:t>。</w:t>
      </w:r>
    </w:p>
    <w:p>
      <w:pPr>
        <w:spacing w:line="600" w:lineRule="exact"/>
        <w:ind w:left="480" w:leftChars="200"/>
        <w:rPr>
          <w:rFonts w:hint="eastAsia" w:ascii="楷体" w:hAnsi="楷体" w:eastAsia="楷体" w:cs="仿宋_GB2312"/>
          <w:b/>
          <w:sz w:val="30"/>
          <w:szCs w:val="30"/>
        </w:rPr>
      </w:pPr>
      <w:r>
        <w:rPr>
          <w:rFonts w:ascii="楷体" w:hAnsi="楷体" w:eastAsia="楷体" w:cs="仿宋_GB2312"/>
          <w:b/>
          <w:sz w:val="30"/>
          <w:szCs w:val="30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</w:rPr>
        <w:t>三</w:t>
      </w:r>
      <w:r>
        <w:rPr>
          <w:rFonts w:ascii="楷体" w:hAnsi="楷体" w:eastAsia="楷体" w:cs="仿宋_GB2312"/>
          <w:b/>
          <w:sz w:val="30"/>
          <w:szCs w:val="30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国有资产占用情况</w:t>
      </w:r>
    </w:p>
    <w:p>
      <w:pPr>
        <w:spacing w:line="580" w:lineRule="exact"/>
        <w:ind w:firstLine="600" w:firstLineChars="200"/>
        <w:jc w:val="both"/>
        <w:rPr>
          <w:rFonts w:hint="eastAsia" w:ascii="仿宋_GB2312" w:hAnsi="仿宋_GB2312" w:eastAsia="仿宋_GB2312" w:cs="仿宋_GB2312"/>
          <w:color w:val="004080"/>
          <w:sz w:val="30"/>
          <w:szCs w:val="30"/>
          <w:lang w:val="zh-CN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截至2024年7月底，本部门各单位共有车辆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辆，其中：副部（省）级及以上领导用车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辆、主要负责人干部用车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辆、机要通信用车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辆、应急保障用车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辆、执法执勤用车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辆、特种专业技术用车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辆、离退休干部服务用车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辆、其他用车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辆，其他用车主要包括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无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。单价（账面原值）100万以上的设备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 xml:space="preserve"> 0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台（套）。</w:t>
      </w:r>
      <w:r>
        <w:rPr>
          <w:rFonts w:hint="eastAsia" w:ascii="仿宋_GB2312" w:hAnsi="仿宋_GB2312" w:eastAsia="仿宋_GB2312" w:cs="仿宋_GB2312"/>
          <w:color w:val="004080"/>
          <w:sz w:val="30"/>
          <w:szCs w:val="30"/>
          <w:lang w:val="zh-CN"/>
        </w:rPr>
        <w:t xml:space="preserve"> </w:t>
      </w:r>
    </w:p>
    <w:p>
      <w:pPr>
        <w:spacing w:line="600" w:lineRule="exact"/>
        <w:ind w:left="480" w:leftChars="200"/>
        <w:rPr>
          <w:rFonts w:ascii="楷体" w:hAnsi="楷体" w:eastAsia="楷体" w:cs="仿宋_GB2312"/>
          <w:b/>
          <w:sz w:val="30"/>
          <w:szCs w:val="30"/>
        </w:rPr>
      </w:pPr>
      <w:r>
        <w:rPr>
          <w:rFonts w:ascii="楷体" w:hAnsi="楷体" w:eastAsia="楷体" w:cs="仿宋_GB2312"/>
          <w:b/>
          <w:sz w:val="30"/>
          <w:szCs w:val="30"/>
        </w:rPr>
        <w:t>（</w:t>
      </w:r>
      <w:r>
        <w:rPr>
          <w:rFonts w:hint="eastAsia" w:ascii="楷体" w:hAnsi="楷体" w:eastAsia="楷体" w:cs="仿宋_GB2312"/>
          <w:b/>
          <w:sz w:val="30"/>
          <w:szCs w:val="30"/>
        </w:rPr>
        <w:t>四</w:t>
      </w:r>
      <w:r>
        <w:rPr>
          <w:rFonts w:ascii="楷体" w:hAnsi="楷体" w:eastAsia="楷体" w:cs="仿宋_GB2312"/>
          <w:b/>
          <w:sz w:val="30"/>
          <w:szCs w:val="30"/>
        </w:rPr>
        <w:t>）</w:t>
      </w:r>
      <w:r>
        <w:rPr>
          <w:rFonts w:hint="eastAsia" w:ascii="楷体" w:hAnsi="楷体" w:eastAsia="楷体" w:cs="仿宋_GB2312"/>
          <w:b/>
          <w:sz w:val="30"/>
          <w:szCs w:val="30"/>
        </w:rPr>
        <w:t>预算绩效情况说明</w:t>
      </w:r>
    </w:p>
    <w:p>
      <w:pPr>
        <w:spacing w:line="580" w:lineRule="exact"/>
        <w:ind w:left="151" w:leftChars="63" w:firstLine="450" w:firstLineChars="150"/>
        <w:jc w:val="both"/>
        <w:rPr>
          <w:rFonts w:hint="eastAsia" w:eastAsia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本部门2025年实行绩效目标管理的项目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个，涉及预算金额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0"/>
          <w:szCs w:val="30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30"/>
          <w:szCs w:val="30"/>
        </w:rPr>
        <w:t>万</w:t>
      </w:r>
      <w:r>
        <w:rPr>
          <w:rFonts w:hint="eastAsia" w:ascii="仿宋_GB2312" w:hAnsi="仿宋_GB2312" w:eastAsia="仿宋_GB2312" w:cs="仿宋_GB2312"/>
          <w:color w:val="000000"/>
          <w:sz w:val="30"/>
          <w:szCs w:val="30"/>
        </w:rPr>
        <w:t>元。</w:t>
      </w:r>
      <w:bookmarkStart w:id="14" w:name="_GoBack"/>
      <w:bookmarkEnd w:id="14"/>
    </w:p>
    <w:p>
      <w:pPr>
        <w:pStyle w:val="2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bookmarkStart w:id="13" w:name="_Toc78784585"/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第三部分  名词解释</w:t>
      </w:r>
      <w:bookmarkEnd w:id="13"/>
    </w:p>
    <w:p>
      <w:pPr>
        <w:spacing w:line="5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>1.</w:t>
      </w:r>
      <w:r>
        <w:rPr>
          <w:rFonts w:hint="eastAsia" w:eastAsia="楷体_GB2312"/>
          <w:b/>
          <w:sz w:val="30"/>
          <w:szCs w:val="30"/>
        </w:rPr>
        <w:t>部门预算。</w:t>
      </w:r>
      <w:r>
        <w:rPr>
          <w:rFonts w:hint="eastAsia" w:eastAsia="仿宋_GB2312"/>
          <w:sz w:val="30"/>
          <w:szCs w:val="30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>
      <w:pPr>
        <w:spacing w:line="580" w:lineRule="exact"/>
        <w:ind w:firstLine="602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楷体_GB2312"/>
          <w:b/>
          <w:sz w:val="30"/>
          <w:szCs w:val="30"/>
        </w:rPr>
        <w:t>2.</w:t>
      </w:r>
      <w:r>
        <w:rPr>
          <w:rFonts w:eastAsia="楷体_GB2312"/>
          <w:b/>
          <w:sz w:val="30"/>
          <w:szCs w:val="30"/>
        </w:rPr>
        <w:t xml:space="preserve"> 机关运行经费</w:t>
      </w:r>
      <w:r>
        <w:rPr>
          <w:rFonts w:hint="eastAsia" w:eastAsia="楷体_GB2312"/>
          <w:b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hint="eastAsia" w:eastAsia="仿宋_GB2312"/>
          <w:sz w:val="30"/>
          <w:szCs w:val="30"/>
        </w:rPr>
        <w:t>。</w:t>
      </w: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hint="eastAsia" w:eastAsia="楷体_GB2312"/>
          <w:sz w:val="30"/>
          <w:szCs w:val="30"/>
        </w:rPr>
      </w:pPr>
    </w:p>
    <w:p>
      <w:pPr>
        <w:spacing w:line="580" w:lineRule="exact"/>
        <w:ind w:firstLine="600" w:firstLineChars="200"/>
        <w:rPr>
          <w:rFonts w:eastAsia="楷体_GB2312"/>
          <w:sz w:val="30"/>
          <w:szCs w:val="30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rPr>
          <w:rFonts w:hint="eastAsia" w:ascii="方正小标宋简体" w:hAnsi="方正小标宋简体" w:eastAsia="方正小标宋简体" w:cs="方正小标宋简体"/>
          <w:b/>
          <w:sz w:val="48"/>
          <w:szCs w:val="48"/>
        </w:rPr>
      </w:pPr>
    </w:p>
    <w:p>
      <w:pPr>
        <w:pStyle w:val="2"/>
        <w:keepNext w:val="0"/>
        <w:keepLines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8"/>
          <w:szCs w:val="48"/>
        </w:rPr>
        <w:t>第四部分  2025年部门预算表</w:t>
      </w:r>
    </w:p>
    <w:p>
      <w:pPr>
        <w:spacing w:line="600" w:lineRule="exact"/>
        <w:ind w:firstLine="594" w:firstLineChars="198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一、</w:t>
      </w:r>
      <w:r>
        <w:rPr>
          <w:rFonts w:eastAsia="仿宋_GB2312"/>
          <w:sz w:val="30"/>
          <w:szCs w:val="30"/>
        </w:rPr>
        <w:t>2025年收支预算总表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二、</w:t>
      </w:r>
      <w:r>
        <w:rPr>
          <w:rFonts w:eastAsia="仿宋_GB2312"/>
          <w:sz w:val="30"/>
          <w:szCs w:val="30"/>
        </w:rPr>
        <w:t>2025年收入预算总表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三、</w:t>
      </w:r>
      <w:r>
        <w:rPr>
          <w:rFonts w:eastAsia="仿宋_GB2312"/>
          <w:sz w:val="30"/>
          <w:szCs w:val="30"/>
        </w:rPr>
        <w:t>2025年支出预算总表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四、</w:t>
      </w:r>
      <w:r>
        <w:rPr>
          <w:rFonts w:eastAsia="仿宋_GB2312"/>
          <w:sz w:val="30"/>
          <w:szCs w:val="30"/>
        </w:rPr>
        <w:t>2025年财政拨款收支预算总表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五、</w:t>
      </w:r>
      <w:r>
        <w:rPr>
          <w:rFonts w:eastAsia="仿宋_GB2312"/>
          <w:sz w:val="30"/>
          <w:szCs w:val="30"/>
        </w:rPr>
        <w:t>2025年财政拨款一般公共预算支出预算表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六、</w:t>
      </w:r>
      <w:r>
        <w:rPr>
          <w:rFonts w:eastAsia="仿宋_GB2312"/>
          <w:sz w:val="30"/>
          <w:szCs w:val="30"/>
        </w:rPr>
        <w:t>2025年财政拨款一般公共预算基本支出预算表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七、2025年财政拨款一般公共预算“三公”经费支出预算表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八、</w:t>
      </w:r>
      <w:r>
        <w:rPr>
          <w:rFonts w:eastAsia="仿宋_GB2312"/>
          <w:sz w:val="30"/>
          <w:szCs w:val="30"/>
        </w:rPr>
        <w:t>2025年财政拨款政府性基金预算支出预算表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九、2025年国有资本经营预算支出预算表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十、</w:t>
      </w:r>
      <w:r>
        <w:rPr>
          <w:rFonts w:eastAsia="仿宋_GB2312"/>
          <w:sz w:val="30"/>
          <w:szCs w:val="30"/>
        </w:rPr>
        <w:t>2025年项目支出预算表</w:t>
      </w:r>
    </w:p>
    <w:p>
      <w:pPr>
        <w:spacing w:line="600" w:lineRule="exact"/>
        <w:ind w:firstLine="600" w:firstLineChars="200"/>
        <w:rPr>
          <w:rFonts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十一、</w:t>
      </w:r>
      <w:r>
        <w:rPr>
          <w:rFonts w:eastAsia="仿宋_GB2312"/>
          <w:sz w:val="30"/>
          <w:szCs w:val="30"/>
        </w:rPr>
        <w:t>2025年财政拨款政府采购预算表</w:t>
      </w:r>
    </w:p>
    <w:p>
      <w:pPr>
        <w:spacing w:line="560" w:lineRule="exact"/>
        <w:ind w:left="480" w:leftChars="200" w:firstLine="147" w:firstLineChars="49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</w:rPr>
        <w:t>十二、关于空表的说明</w:t>
      </w:r>
      <w:r>
        <w:rPr>
          <w:rFonts w:hint="eastAsia" w:eastAsia="仿宋_GB2312"/>
          <w:sz w:val="30"/>
          <w:szCs w:val="30"/>
        </w:rPr>
        <w:tab/>
      </w:r>
    </w:p>
    <w:p>
      <w:pPr>
        <w:spacing w:line="600" w:lineRule="exact"/>
        <w:ind w:firstLine="600" w:firstLineChars="200"/>
        <w:rPr>
          <w:rFonts w:hint="eastAsia" w:eastAsia="仿宋_GB2312"/>
          <w:sz w:val="30"/>
          <w:szCs w:val="30"/>
        </w:rPr>
      </w:pPr>
      <w:r>
        <w:rPr>
          <w:rFonts w:hint="eastAsia" w:eastAsia="仿宋_GB2312"/>
          <w:sz w:val="30"/>
          <w:szCs w:val="30"/>
          <w:lang w:val="en-US" w:eastAsia="zh-CN"/>
        </w:rPr>
        <w:t>1.</w:t>
      </w:r>
      <w:r>
        <w:rPr>
          <w:rFonts w:hint="eastAsia" w:eastAsia="仿宋_GB2312"/>
          <w:sz w:val="30"/>
          <w:szCs w:val="30"/>
        </w:rPr>
        <w:t>本部门2025年财政拨款一般公共预算“三公”经费支出预算表为空表。</w:t>
      </w:r>
    </w:p>
    <w:p>
      <w:pPr>
        <w:spacing w:line="56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2.本部门</w:t>
      </w:r>
      <w:r>
        <w:rPr>
          <w:rFonts w:eastAsia="仿宋_GB2312"/>
          <w:sz w:val="30"/>
          <w:szCs w:val="30"/>
        </w:rPr>
        <w:t>2025年财政拨款政府性基金预算支出预算表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为空表。</w:t>
      </w:r>
    </w:p>
    <w:p>
      <w:pPr>
        <w:spacing w:line="60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3.本部门</w:t>
      </w:r>
      <w:r>
        <w:rPr>
          <w:rFonts w:hint="eastAsia" w:eastAsia="仿宋_GB2312"/>
          <w:sz w:val="30"/>
          <w:szCs w:val="30"/>
        </w:rPr>
        <w:t>2025年国有资本经营预算支出预算表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为空表。</w:t>
      </w:r>
    </w:p>
    <w:p>
      <w:pPr>
        <w:spacing w:line="60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</w:pP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4.本部门</w:t>
      </w:r>
      <w:r>
        <w:rPr>
          <w:rFonts w:eastAsia="仿宋_GB2312"/>
          <w:sz w:val="30"/>
          <w:szCs w:val="30"/>
        </w:rPr>
        <w:t>2025年项目支出预算表</w:t>
      </w:r>
      <w:r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  <w:t>为空表。</w:t>
      </w:r>
    </w:p>
    <w:p>
      <w:pPr>
        <w:spacing w:line="560" w:lineRule="exact"/>
        <w:ind w:firstLine="600" w:firstLineChars="200"/>
        <w:rPr>
          <w:rFonts w:hint="eastAsia" w:ascii="MS Serif" w:hAnsi="MS Serif" w:eastAsia="仿宋_GB2312" w:cs="Times New Roman"/>
          <w:sz w:val="30"/>
          <w:szCs w:val="30"/>
          <w:lang w:val="en-US" w:eastAsia="zh-CN"/>
        </w:rPr>
      </w:pPr>
    </w:p>
    <w:p>
      <w:pPr>
        <w:spacing w:line="580" w:lineRule="exact"/>
        <w:ind w:firstLine="600" w:firstLineChars="200"/>
        <w:rPr>
          <w:rFonts w:eastAsia="楷体_GB2312"/>
          <w:color w:val="FF0000"/>
          <w:sz w:val="30"/>
          <w:szCs w:val="30"/>
        </w:rPr>
      </w:pPr>
    </w:p>
    <w:sectPr>
      <w:footerReference r:id="rId8" w:type="default"/>
      <w:pgSz w:w="11907" w:h="16840"/>
      <w:pgMar w:top="2098" w:right="1474" w:bottom="1304" w:left="1588" w:header="765" w:footer="765" w:gutter="0"/>
      <w:pgNumType w:fmt="numberInDash" w:start="1"/>
      <w:cols w:space="720" w:num="1"/>
      <w:docGrid w:linePitch="32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S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1"/>
      </w:rPr>
    </w:pPr>
    <w:r>
      <w:fldChar w:fldCharType="begin"/>
    </w:r>
    <w:r>
      <w:rPr>
        <w:rStyle w:val="11"/>
      </w:rPr>
      <w:instrText xml:space="preserve">PAGE  </w:instrText>
    </w:r>
    <w:r>
      <w:fldChar w:fldCharType="end"/>
    </w:r>
  </w:p>
  <w:p>
    <w:pPr>
      <w:pStyle w:val="6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1 -</w:t>
    </w:r>
    <w:r>
      <w:fldChar w:fldCharType="end"/>
    </w:r>
  </w:p>
  <w:p>
    <w:pPr>
      <w:pStyle w:val="6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D77"/>
    <w:rsid w:val="0001204D"/>
    <w:rsid w:val="00012D48"/>
    <w:rsid w:val="00014B7E"/>
    <w:rsid w:val="00020DAE"/>
    <w:rsid w:val="00025DCF"/>
    <w:rsid w:val="00026B49"/>
    <w:rsid w:val="000279BC"/>
    <w:rsid w:val="00035889"/>
    <w:rsid w:val="0003736F"/>
    <w:rsid w:val="00040A70"/>
    <w:rsid w:val="000546FB"/>
    <w:rsid w:val="00055156"/>
    <w:rsid w:val="000561F0"/>
    <w:rsid w:val="000638DE"/>
    <w:rsid w:val="00066DA5"/>
    <w:rsid w:val="00081133"/>
    <w:rsid w:val="00082771"/>
    <w:rsid w:val="00093F1A"/>
    <w:rsid w:val="00097C4D"/>
    <w:rsid w:val="000A4C45"/>
    <w:rsid w:val="000A6A5A"/>
    <w:rsid w:val="000A750A"/>
    <w:rsid w:val="000B1B04"/>
    <w:rsid w:val="000B5758"/>
    <w:rsid w:val="000C1D30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4D50"/>
    <w:rsid w:val="001574DB"/>
    <w:rsid w:val="00160516"/>
    <w:rsid w:val="001616F8"/>
    <w:rsid w:val="001639E6"/>
    <w:rsid w:val="0016548E"/>
    <w:rsid w:val="00167781"/>
    <w:rsid w:val="00173D03"/>
    <w:rsid w:val="0017420B"/>
    <w:rsid w:val="001743A6"/>
    <w:rsid w:val="0019552B"/>
    <w:rsid w:val="001A1316"/>
    <w:rsid w:val="001A58F7"/>
    <w:rsid w:val="001B26CD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3A70"/>
    <w:rsid w:val="002456BF"/>
    <w:rsid w:val="00247B07"/>
    <w:rsid w:val="00252DD7"/>
    <w:rsid w:val="002568D5"/>
    <w:rsid w:val="0026664B"/>
    <w:rsid w:val="00275986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2F6622"/>
    <w:rsid w:val="00304097"/>
    <w:rsid w:val="003147A8"/>
    <w:rsid w:val="0032641E"/>
    <w:rsid w:val="003407F4"/>
    <w:rsid w:val="00343F3E"/>
    <w:rsid w:val="0035053A"/>
    <w:rsid w:val="0035182A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4CDB"/>
    <w:rsid w:val="00404E18"/>
    <w:rsid w:val="00406A09"/>
    <w:rsid w:val="004139C1"/>
    <w:rsid w:val="004178F1"/>
    <w:rsid w:val="00421C5C"/>
    <w:rsid w:val="00424A5A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A77B0"/>
    <w:rsid w:val="004B0888"/>
    <w:rsid w:val="004C0EED"/>
    <w:rsid w:val="004C1F92"/>
    <w:rsid w:val="004C3B81"/>
    <w:rsid w:val="004D2A21"/>
    <w:rsid w:val="004E5901"/>
    <w:rsid w:val="004E7F96"/>
    <w:rsid w:val="004F1D8F"/>
    <w:rsid w:val="004F304B"/>
    <w:rsid w:val="00500E62"/>
    <w:rsid w:val="00507FC2"/>
    <w:rsid w:val="0051134F"/>
    <w:rsid w:val="00513E0C"/>
    <w:rsid w:val="00531F24"/>
    <w:rsid w:val="00534FC8"/>
    <w:rsid w:val="005442FD"/>
    <w:rsid w:val="00547CCA"/>
    <w:rsid w:val="0055334A"/>
    <w:rsid w:val="0056218D"/>
    <w:rsid w:val="00563DE0"/>
    <w:rsid w:val="00566B36"/>
    <w:rsid w:val="005717FD"/>
    <w:rsid w:val="00577762"/>
    <w:rsid w:val="00580FFE"/>
    <w:rsid w:val="00585D27"/>
    <w:rsid w:val="0058731A"/>
    <w:rsid w:val="00587691"/>
    <w:rsid w:val="0059010F"/>
    <w:rsid w:val="0059248B"/>
    <w:rsid w:val="00595115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317F"/>
    <w:rsid w:val="006A57EE"/>
    <w:rsid w:val="006A7042"/>
    <w:rsid w:val="006A7123"/>
    <w:rsid w:val="006B0F4B"/>
    <w:rsid w:val="006D456D"/>
    <w:rsid w:val="006D7313"/>
    <w:rsid w:val="006E5C14"/>
    <w:rsid w:val="006F408B"/>
    <w:rsid w:val="00703777"/>
    <w:rsid w:val="00716804"/>
    <w:rsid w:val="00737A20"/>
    <w:rsid w:val="0074381E"/>
    <w:rsid w:val="00754417"/>
    <w:rsid w:val="0078521D"/>
    <w:rsid w:val="00795DC2"/>
    <w:rsid w:val="007A5596"/>
    <w:rsid w:val="007B750A"/>
    <w:rsid w:val="007C0CD1"/>
    <w:rsid w:val="007C220B"/>
    <w:rsid w:val="007C257B"/>
    <w:rsid w:val="007C27C2"/>
    <w:rsid w:val="007C4FF4"/>
    <w:rsid w:val="007C5704"/>
    <w:rsid w:val="007E011D"/>
    <w:rsid w:val="007E0D5B"/>
    <w:rsid w:val="007E2276"/>
    <w:rsid w:val="007F218B"/>
    <w:rsid w:val="00810D0C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90F33"/>
    <w:rsid w:val="008A219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1709C"/>
    <w:rsid w:val="009224E2"/>
    <w:rsid w:val="00922C71"/>
    <w:rsid w:val="00931ADF"/>
    <w:rsid w:val="009339F5"/>
    <w:rsid w:val="00933DD8"/>
    <w:rsid w:val="00934F3E"/>
    <w:rsid w:val="00937D77"/>
    <w:rsid w:val="00944267"/>
    <w:rsid w:val="00946BC0"/>
    <w:rsid w:val="00951511"/>
    <w:rsid w:val="0095553A"/>
    <w:rsid w:val="00962587"/>
    <w:rsid w:val="009822BE"/>
    <w:rsid w:val="00990C9A"/>
    <w:rsid w:val="009970B7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1B34"/>
    <w:rsid w:val="00A82A7D"/>
    <w:rsid w:val="00A8708A"/>
    <w:rsid w:val="00A918A4"/>
    <w:rsid w:val="00A91C28"/>
    <w:rsid w:val="00A96D04"/>
    <w:rsid w:val="00AB093E"/>
    <w:rsid w:val="00AB385B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348E"/>
    <w:rsid w:val="00B45D35"/>
    <w:rsid w:val="00B47C04"/>
    <w:rsid w:val="00B53EC1"/>
    <w:rsid w:val="00B5771C"/>
    <w:rsid w:val="00B66FA2"/>
    <w:rsid w:val="00B73DE5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F3615"/>
    <w:rsid w:val="00BF54DA"/>
    <w:rsid w:val="00BF7933"/>
    <w:rsid w:val="00C1455B"/>
    <w:rsid w:val="00C148BB"/>
    <w:rsid w:val="00C149C4"/>
    <w:rsid w:val="00C17C17"/>
    <w:rsid w:val="00C24562"/>
    <w:rsid w:val="00C37827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1BC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CF57E8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0F72"/>
    <w:rsid w:val="00DF2103"/>
    <w:rsid w:val="00DF4EF1"/>
    <w:rsid w:val="00DF6570"/>
    <w:rsid w:val="00E01833"/>
    <w:rsid w:val="00E27103"/>
    <w:rsid w:val="00E37F65"/>
    <w:rsid w:val="00E407D2"/>
    <w:rsid w:val="00E51564"/>
    <w:rsid w:val="00E62551"/>
    <w:rsid w:val="00E6262F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9CA"/>
    <w:rsid w:val="00F11449"/>
    <w:rsid w:val="00F211C0"/>
    <w:rsid w:val="00F224AE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95126E2"/>
    <w:rsid w:val="1D681DEC"/>
    <w:rsid w:val="268758BC"/>
    <w:rsid w:val="281B5A68"/>
    <w:rsid w:val="2A632BA2"/>
    <w:rsid w:val="34B23EB9"/>
    <w:rsid w:val="3557428F"/>
    <w:rsid w:val="37083255"/>
    <w:rsid w:val="3D407E3C"/>
    <w:rsid w:val="3FCB28EB"/>
    <w:rsid w:val="40956B0D"/>
    <w:rsid w:val="484732F3"/>
    <w:rsid w:val="496137AE"/>
    <w:rsid w:val="4E1E02D7"/>
    <w:rsid w:val="4F204931"/>
    <w:rsid w:val="562024E5"/>
    <w:rsid w:val="58B65B9B"/>
    <w:rsid w:val="5E273230"/>
    <w:rsid w:val="693A5856"/>
    <w:rsid w:val="6A2D5246"/>
    <w:rsid w:val="72F00AC8"/>
    <w:rsid w:val="73A82400"/>
    <w:rsid w:val="748F20DD"/>
    <w:rsid w:val="77EA1EEF"/>
    <w:rsid w:val="77EFDD89"/>
    <w:rsid w:val="7AF1296F"/>
    <w:rsid w:val="7CB13F12"/>
    <w:rsid w:val="7D02742F"/>
    <w:rsid w:val="7ECE503D"/>
    <w:rsid w:val="DEFFAB64"/>
    <w:rsid w:val="F51C35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MS Serif" w:hAnsi="MS Serif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textAlignment w:val="baseline"/>
    </w:pPr>
    <w:rPr>
      <w:rFonts w:ascii="MS Serif" w:hAnsi="MS Serif" w:eastAsia="宋体" w:cs="Times New Roman"/>
      <w:sz w:val="24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5"/>
    <w:qFormat/>
    <w:uiPriority w:val="9"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10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semiHidden/>
    <w:uiPriority w:val="0"/>
    <w:pPr>
      <w:shd w:val="clear" w:color="auto" w:fill="000080"/>
    </w:pPr>
  </w:style>
  <w:style w:type="paragraph" w:styleId="5">
    <w:name w:val="Balloon Text"/>
    <w:basedOn w:val="1"/>
    <w:link w:val="16"/>
    <w:uiPriority w:val="0"/>
    <w:pPr>
      <w:spacing w:line="240" w:lineRule="auto"/>
    </w:pPr>
    <w:rPr>
      <w:sz w:val="18"/>
      <w:szCs w:val="18"/>
    </w:rPr>
  </w:style>
  <w:style w:type="paragraph" w:styleId="6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7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8">
    <w:name w:val="toc 2"/>
    <w:basedOn w:val="1"/>
    <w:next w:val="1"/>
    <w:unhideWhenUsed/>
    <w:qFormat/>
    <w:uiPriority w:val="39"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11">
    <w:name w:val="page number"/>
    <w:uiPriority w:val="0"/>
  </w:style>
  <w:style w:type="paragraph" w:customStyle="1" w:styleId="12">
    <w:name w:val="Char Char"/>
    <w:basedOn w:val="4"/>
    <w:uiPriority w:val="0"/>
    <w:pPr>
      <w:adjustRightInd/>
      <w:spacing w:line="240" w:lineRule="auto"/>
      <w:jc w:val="both"/>
      <w:textAlignment w:val="auto"/>
    </w:pPr>
  </w:style>
  <w:style w:type="paragraph" w:styleId="13">
    <w:name w:val="List Paragraph"/>
    <w:basedOn w:val="1"/>
    <w:qFormat/>
    <w:uiPriority w:val="34"/>
    <w:pPr>
      <w:adjustRightInd/>
      <w:spacing w:line="240" w:lineRule="auto"/>
      <w:ind w:firstLine="420" w:firstLineChars="200"/>
      <w:jc w:val="both"/>
      <w:textAlignment w:val="auto"/>
    </w:pPr>
    <w:rPr>
      <w:rFonts w:ascii="Calibri" w:hAnsi="Calibri" w:eastAsia="宋体" w:cs="Times New Roman"/>
      <w:kern w:val="2"/>
      <w:sz w:val="21"/>
      <w:szCs w:val="22"/>
    </w:rPr>
  </w:style>
  <w:style w:type="character" w:customStyle="1" w:styleId="14">
    <w:name w:val="标题 1 Char"/>
    <w:link w:val="2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15">
    <w:name w:val="标题 2 Char"/>
    <w:link w:val="3"/>
    <w:uiPriority w:val="9"/>
    <w:rPr>
      <w:rFonts w:ascii="Cambria" w:hAnsi="Cambria"/>
      <w:b/>
      <w:bCs/>
      <w:sz w:val="32"/>
      <w:szCs w:val="32"/>
    </w:rPr>
  </w:style>
  <w:style w:type="character" w:customStyle="1" w:styleId="16">
    <w:name w:val="批注框文本 Char"/>
    <w:link w:val="5"/>
    <w:uiPriority w:val="0"/>
    <w:rPr>
      <w:sz w:val="18"/>
      <w:szCs w:val="18"/>
    </w:rPr>
  </w:style>
  <w:style w:type="character" w:customStyle="1" w:styleId="17">
    <w:name w:val="页脚 Char"/>
    <w:link w:val="6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3135</Words>
  <Characters>3465</Characters>
  <Lines>34</Lines>
  <Paragraphs>9</Paragraphs>
  <TotalTime>3</TotalTime>
  <ScaleCrop>false</ScaleCrop>
  <LinksUpToDate>false</LinksUpToDate>
  <CharactersWithSpaces>3988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2024-02-23T09:39:00Z</dcterms:created>
  <dc:creator>朱春礼</dc:creator>
  <cp:lastModifiedBy>user</cp:lastModifiedBy>
  <cp:lastPrinted>2025-02-06T06:42:00Z</cp:lastPrinted>
  <dcterms:modified xsi:type="dcterms:W3CDTF">2025-02-11T07:04:21Z</dcterms:modified>
  <dc:title>附件1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KSOTemplateDocerSaveRecord">
    <vt:lpwstr>eyJoZGlkIjoiNGU3MGUzZjI3ZjFjY2UyOWYzZjgzODhlZDYzN2JkODMiLCJ1c2VySWQiOiIzNzkxNzc1OTgifQ==</vt:lpwstr>
  </property>
  <property fmtid="{D5CDD505-2E9C-101B-9397-08002B2CF9AE}" pid="4" name="ICV">
    <vt:lpwstr>BB0C15C59A54425FABB222C18C05A045_13</vt:lpwstr>
  </property>
</Properties>
</file>