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  <w:lang w:eastAsia="zh-CN"/>
        </w:rPr>
        <w:t>天津经济技术开发区财政局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8"/>
          <w:szCs w:val="48"/>
        </w:rPr>
        <w:t>2025年部门预算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48"/>
          <w:szCs w:val="48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>
      <w:pPr>
        <w:spacing w:line="600" w:lineRule="exact"/>
        <w:rPr>
          <w:rFonts w:hint="eastAsia" w:ascii="黑体" w:eastAsia="黑体"/>
          <w:sz w:val="30"/>
          <w:szCs w:val="3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第一部分  概 况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一、主要职责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二、机构设置情况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第二部分  2025年部门预算情况说明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一、关于收支预算总表的说明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二、关于收入预算总表的说明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三、关于支出预算总表的说明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四、关于财政拨款收支预算总表的说明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五、关于财政拨款一般公共预算支出预算表的说明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六、关于财政拨款一般公共预算基本支出预算表的说明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七、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关于财政拨款一般公共预算“三公”经费支出预算表的说明</w:t>
      </w:r>
    </w:p>
    <w:p>
      <w:pPr>
        <w:spacing w:line="600" w:lineRule="exact"/>
        <w:ind w:left="1200" w:leftChars="250" w:hanging="600" w:hangingChars="200"/>
        <w:rPr>
          <w:rFonts w:hint="eastAsia" w:ascii="仿宋_GB2312" w:hAnsi="仿宋_GB2312" w:eastAsia="仿宋_GB2312" w:cs="仿宋_GB2312"/>
          <w:spacing w:val="-2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八、关于财政拨款政府性基金预算支出预算表的说明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九、关于国有资本经营预算支出预算表的说明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十、其他重要事项的情况说明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第三部分  名词解释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第四部分  2025年部门预算表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一、2025年收支预算总表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二、2025年收入预算总表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三、2025年支出预算总表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四、2025年财政拨款收支预算总表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五、2025年财政拨款一般公共预算支出预算表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六、2025年财政拨款一般公共预算基本支出预算表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七、2025年财政拨款一般公共预算“三公”经费支出预算表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八、2025年财政拨款政府性基金预算支出预算表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九、2025年国有资本经营预算支出预算表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十、2025年项目支出预算表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十一、2025年财政拨款政府采购预算表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十二、关于空表的说明</w:t>
      </w:r>
    </w:p>
    <w:p>
      <w:pPr>
        <w:pStyle w:val="8"/>
        <w:tabs>
          <w:tab w:val="right" w:leader="dot" w:pos="8296"/>
        </w:tabs>
        <w:spacing w:line="600" w:lineRule="exact"/>
        <w:ind w:left="0"/>
        <w:rPr>
          <w:rFonts w:hint="eastAsia" w:ascii="仿宋_GB2312" w:hAnsi="仿宋_GB2312" w:eastAsia="仿宋_GB2312" w:cs="仿宋_GB2312"/>
          <w:sz w:val="30"/>
          <w:szCs w:val="30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>
      <w:pPr>
        <w:pStyle w:val="2"/>
        <w:spacing w:line="600" w:lineRule="exact"/>
        <w:jc w:val="center"/>
        <w:rPr>
          <w:rFonts w:hint="eastAsia" w:ascii="仿宋_GB2312" w:hAnsi="仿宋_GB2312" w:eastAsia="仿宋_GB2312" w:cs="仿宋_GB2312"/>
          <w:b w:val="0"/>
          <w:sz w:val="48"/>
          <w:szCs w:val="48"/>
        </w:rPr>
      </w:pPr>
      <w:bookmarkStart w:id="0" w:name="_Toc78784554"/>
      <w:r>
        <w:rPr>
          <w:rFonts w:hint="eastAsia" w:ascii="仿宋_GB2312" w:hAnsi="仿宋_GB2312" w:eastAsia="仿宋_GB2312" w:cs="仿宋_GB2312"/>
          <w:b w:val="0"/>
          <w:sz w:val="48"/>
          <w:szCs w:val="48"/>
        </w:rPr>
        <w:t>第一部分  概 况</w:t>
      </w:r>
      <w:bookmarkEnd w:id="0"/>
    </w:p>
    <w:p>
      <w:pPr>
        <w:spacing w:line="600" w:lineRule="exact"/>
        <w:rPr>
          <w:rFonts w:hint="eastAsia" w:ascii="仿宋_GB2312" w:hAnsi="仿宋_GB2312" w:eastAsia="仿宋_GB2312" w:cs="仿宋_GB2312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1" w:name="_Toc78784555"/>
      <w:r>
        <w:rPr>
          <w:rFonts w:hint="eastAsia" w:ascii="仿宋_GB2312" w:hAnsi="仿宋_GB2312" w:eastAsia="仿宋_GB2312" w:cs="仿宋_GB2312"/>
          <w:b/>
          <w:sz w:val="30"/>
          <w:szCs w:val="30"/>
        </w:rPr>
        <w:t>一、主要职责</w:t>
      </w:r>
      <w:bookmarkEnd w:id="1"/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  <w:bookmarkStart w:id="2" w:name="_Toc78784556"/>
      <w:r>
        <w:rPr>
          <w:rFonts w:hint="eastAsia" w:ascii="仿宋_GB2312" w:hAnsi="仿宋_GB2312" w:eastAsia="仿宋_GB2312" w:cs="仿宋_GB2312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30"/>
          <w:szCs w:val="30"/>
        </w:rPr>
        <w:t>)贯彻执行国家、天津市、滨海新区有关财政、税收、国有资产管理的法律、法规和方针、政策，研究起草经开区相关政策规定，制定财政中长期发展战略、规划，并组织实施。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0"/>
          <w:szCs w:val="30"/>
        </w:rPr>
        <w:t>)承担各项财政收支管理责任，编制年度预决算草案并组织执行，负责向党委、管委会报告预算及其执行情况，组织制定经费支出标准、定额，按照上级部门要求批复部门(单位)的年度预决算，组织开展财政专项检查及经费使用绩效考核管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按照规定负责部门国有资产管理，执行部门国有资产管理制度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(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</w:rPr>
        <w:t>)执行天津市、滨海新区国库管理制度、国库集中收付制度，按照规定开展国库资金管理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)负责管委会非税收入管理，负责政府性基金管理，按规定管理部门性收费，管理财政票据。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)负责区域开发建设政府投资项目预算安排及资金拨付，公用事业补贴预算的审核及拨付。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(六)贯彻执行国家、天津市、滨海新区政府性债务管理的相关工作。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七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)组织实施企业财务制度，对代理记账机构进行备案变更和撤销手续。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八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)负责经开区政府采购的业务管理工作。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九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)负责对财政投资项目开展评审和评价工作，对政府投资项目的预算、决(结)算开展审核。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)负责制定财政管理信息化制度，拟订财政管理信息化建设中长期规划，组织实施“金财工程”建设，开展财政理论政策研究，负责财政政策宣传和信息咨询工作，负责财政系统教育培训工作。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十一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)负责本领域安全生产管理工作。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(十二)贯彻落实本单位全面从严治党主体责任，严格落实基层党建工作任务，发挥党组织战斗堡垒作用和党员先锋模范作用。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(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十三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)完成党委、管委会交办的其他各项工作。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二、机构设置</w:t>
      </w:r>
      <w:bookmarkEnd w:id="2"/>
      <w:r>
        <w:rPr>
          <w:rFonts w:hint="eastAsia" w:ascii="仿宋_GB2312" w:hAnsi="仿宋_GB2312" w:eastAsia="仿宋_GB2312" w:cs="仿宋_GB2312"/>
          <w:b/>
          <w:sz w:val="30"/>
          <w:szCs w:val="30"/>
        </w:rPr>
        <w:t>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本部门内设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个职能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科</w:t>
      </w:r>
      <w:r>
        <w:rPr>
          <w:rFonts w:hint="eastAsia" w:ascii="仿宋_GB2312" w:hAnsi="仿宋_GB2312" w:eastAsia="仿宋_GB2312" w:cs="仿宋_GB2312"/>
          <w:sz w:val="30"/>
          <w:szCs w:val="30"/>
        </w:rPr>
        <w:t>室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分别是：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u w:val="none"/>
        </w:rPr>
        <w:t>办公室、预算科、部门管理科、企业服务科、综合科、基建科、国库科、金融科、绩效考核管理科、信息科、政府采购科</w:t>
      </w:r>
      <w:r>
        <w:rPr>
          <w:rFonts w:hint="eastAsia" w:ascii="仿宋_GB2312" w:hAnsi="仿宋_GB2312" w:eastAsia="仿宋_GB2312" w:cs="仿宋_GB2312"/>
          <w:b w:val="0"/>
          <w:bCs w:val="0"/>
          <w:sz w:val="30"/>
          <w:szCs w:val="30"/>
          <w:highlight w:val="none"/>
          <w:u w:val="none"/>
          <w:lang w:eastAsia="zh-CN"/>
        </w:rPr>
        <w:t>及评审中心；</w:t>
      </w:r>
      <w:r>
        <w:rPr>
          <w:rFonts w:hint="eastAsia" w:ascii="仿宋_GB2312" w:hAnsi="仿宋_GB2312" w:eastAsia="仿宋_GB2312" w:cs="仿宋_GB2312"/>
          <w:sz w:val="30"/>
          <w:szCs w:val="30"/>
        </w:rPr>
        <w:t>下辖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sz w:val="30"/>
          <w:szCs w:val="30"/>
        </w:rPr>
        <w:t>个预算单位。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纳入本部门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2025年部门预算编制范围的预算单位包括：天津经济技术开发区财政局本级。</w:t>
      </w: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w w:val="95"/>
          <w:sz w:val="44"/>
          <w:szCs w:val="44"/>
        </w:rPr>
      </w:pPr>
    </w:p>
    <w:p>
      <w:pPr>
        <w:spacing w:line="600" w:lineRule="exact"/>
        <w:jc w:val="both"/>
        <w:rPr>
          <w:rFonts w:hint="eastAsia" w:ascii="仿宋_GB2312" w:hAnsi="仿宋_GB2312" w:eastAsia="仿宋_GB2312" w:cs="仿宋_GB2312"/>
          <w:w w:val="95"/>
          <w:sz w:val="44"/>
          <w:szCs w:val="44"/>
        </w:rPr>
      </w:pPr>
    </w:p>
    <w:p>
      <w:pPr>
        <w:pStyle w:val="2"/>
        <w:spacing w:line="600" w:lineRule="exact"/>
        <w:jc w:val="center"/>
        <w:rPr>
          <w:rFonts w:hint="eastAsia" w:ascii="仿宋_GB2312" w:hAnsi="仿宋_GB2312" w:eastAsia="仿宋_GB2312" w:cs="仿宋_GB2312"/>
          <w:b w:val="0"/>
          <w:sz w:val="48"/>
          <w:szCs w:val="48"/>
        </w:rPr>
      </w:pPr>
      <w:bookmarkStart w:id="3" w:name="_Toc78784570"/>
      <w:r>
        <w:rPr>
          <w:rFonts w:hint="eastAsia" w:ascii="仿宋_GB2312" w:hAnsi="仿宋_GB2312" w:eastAsia="仿宋_GB2312" w:cs="仿宋_GB2312"/>
          <w:b w:val="0"/>
          <w:sz w:val="48"/>
          <w:szCs w:val="48"/>
        </w:rPr>
        <w:t xml:space="preserve">第二部分  </w:t>
      </w:r>
      <w:r>
        <w:rPr>
          <w:rFonts w:hint="eastAsia" w:ascii="仿宋_GB2312" w:hAnsi="仿宋_GB2312" w:eastAsia="仿宋_GB2312" w:cs="仿宋_GB2312"/>
          <w:b w:val="0"/>
          <w:spacing w:val="-20"/>
          <w:sz w:val="48"/>
          <w:szCs w:val="48"/>
        </w:rPr>
        <w:t>2025年部门预算情况说明</w:t>
      </w:r>
      <w:bookmarkEnd w:id="3"/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4" w:name="_Toc78784571"/>
      <w:r>
        <w:rPr>
          <w:rFonts w:hint="eastAsia" w:ascii="仿宋_GB2312" w:hAnsi="仿宋_GB2312" w:eastAsia="仿宋_GB2312" w:cs="仿宋_GB2312"/>
          <w:b/>
          <w:sz w:val="30"/>
          <w:szCs w:val="30"/>
        </w:rPr>
        <w:t>一、</w:t>
      </w:r>
      <w:bookmarkEnd w:id="4"/>
      <w:r>
        <w:rPr>
          <w:rFonts w:hint="eastAsia" w:ascii="仿宋_GB2312" w:hAnsi="仿宋_GB2312" w:eastAsia="仿宋_GB2312" w:cs="仿宋_GB2312"/>
          <w:b/>
          <w:sz w:val="30"/>
          <w:szCs w:val="30"/>
        </w:rPr>
        <w:t>关于收支预算总表的说明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按照综合预算的原则，本部门所有收入和支出均纳入部门预算管理。收入包括：一般公共预算拨款收入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1876.99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万元、政府性基金预算拨款收入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万元、国有资本经营预算拨款收入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万元、财政专户管理资金收入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万元、事业收入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万元、事业单位经营收入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万元、上级补助收入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万元、附属单位上缴收入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0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万元、其他收入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万元、上年结转结余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万元；支出包括：一般公共服务支出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1876.99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万元。本部门2025年收支总预算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1876.99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5" w:name="_Toc78784572"/>
      <w:r>
        <w:rPr>
          <w:rFonts w:hint="eastAsia" w:ascii="仿宋_GB2312" w:hAnsi="仿宋_GB2312" w:eastAsia="仿宋_GB2312" w:cs="仿宋_GB2312"/>
          <w:b/>
          <w:sz w:val="30"/>
          <w:szCs w:val="30"/>
        </w:rPr>
        <w:t>二、</w:t>
      </w:r>
      <w:bookmarkEnd w:id="5"/>
      <w:r>
        <w:rPr>
          <w:rFonts w:hint="eastAsia" w:ascii="仿宋_GB2312" w:hAnsi="仿宋_GB2312" w:eastAsia="仿宋_GB2312" w:cs="仿宋_GB2312"/>
          <w:b/>
          <w:sz w:val="30"/>
          <w:szCs w:val="30"/>
        </w:rPr>
        <w:t>关于收入预算总表的说明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本部门2025年部门预算收入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1876.99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1097.57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专项经费预算减少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。其中：上年结转结余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%；一般公共预算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1876.99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%；政府性基金预算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%；国有资本经营预算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%；财政专户管理资金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%；事业收入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%；事业单位经营收入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%；上级补助收入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%；附属单位上缴收入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%；其他收入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%。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6" w:name="_Toc78784573"/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三、</w:t>
      </w:r>
      <w:bookmarkEnd w:id="6"/>
      <w:r>
        <w:rPr>
          <w:rFonts w:hint="eastAsia" w:ascii="仿宋_GB2312" w:hAnsi="仿宋_GB2312" w:eastAsia="仿宋_GB2312" w:cs="仿宋_GB2312"/>
          <w:b/>
          <w:sz w:val="30"/>
          <w:szCs w:val="30"/>
        </w:rPr>
        <w:t>关于支出预算总表的说明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本部门2025年支出预算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1876.99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1097.57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专项经费预算减少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。其中：基本支出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1411.99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75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%；项目支出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465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%；事业单位经营支出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%；上缴上级支出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%；对附属单位补助支出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%。 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7" w:name="_Toc78784574"/>
      <w:r>
        <w:rPr>
          <w:rFonts w:hint="eastAsia" w:ascii="仿宋_GB2312" w:hAnsi="仿宋_GB2312" w:eastAsia="仿宋_GB2312" w:cs="仿宋_GB2312"/>
          <w:b/>
          <w:sz w:val="30"/>
          <w:szCs w:val="30"/>
        </w:rPr>
        <w:t>四、</w:t>
      </w:r>
      <w:bookmarkEnd w:id="7"/>
      <w:r>
        <w:rPr>
          <w:rFonts w:hint="eastAsia" w:ascii="仿宋_GB2312" w:hAnsi="仿宋_GB2312" w:eastAsia="仿宋_GB2312" w:cs="仿宋_GB2312"/>
          <w:b/>
          <w:sz w:val="30"/>
          <w:szCs w:val="30"/>
        </w:rPr>
        <w:t>关于财政拨款收支预算总表的说明</w:t>
      </w:r>
    </w:p>
    <w:p>
      <w:pPr>
        <w:spacing w:line="600" w:lineRule="exact"/>
        <w:ind w:firstLine="6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本部门2025年财政拨款收入预算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1876.99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1097.57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专项经费预算减少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。收入包括：一般公共预算拨款收入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1876.99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万元、政府性基金预算拨款收入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万元、国有资本经营预算拨款收入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万元、上年财政结转结余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万元。2025年财政拨款支出预算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1876.99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1097.57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专项经费预算减少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。支出包括：一般公共服务支出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1876.99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</w:t>
      </w:r>
    </w:p>
    <w:p>
      <w:pPr>
        <w:spacing w:line="600" w:lineRule="exact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8" w:name="_Toc78784575"/>
      <w:r>
        <w:rPr>
          <w:rFonts w:hint="eastAsia" w:ascii="仿宋_GB2312" w:hAnsi="仿宋_GB2312" w:eastAsia="仿宋_GB2312" w:cs="仿宋_GB2312"/>
          <w:b/>
          <w:sz w:val="30"/>
          <w:szCs w:val="30"/>
        </w:rPr>
        <w:t>五、</w:t>
      </w:r>
      <w:bookmarkEnd w:id="8"/>
      <w:r>
        <w:rPr>
          <w:rFonts w:hint="eastAsia" w:ascii="仿宋_GB2312" w:hAnsi="仿宋_GB2312" w:eastAsia="仿宋_GB2312" w:cs="仿宋_GB2312"/>
          <w:b/>
          <w:sz w:val="30"/>
          <w:szCs w:val="30"/>
        </w:rPr>
        <w:t>关于财政拨款一般公共预算支出预算表的说明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（一）总体情况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本部门2025年一般公共预算支出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1876.99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1097.57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专项经费预算减少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（二）具体情况</w:t>
      </w:r>
    </w:p>
    <w:p>
      <w:pPr>
        <w:numPr>
          <w:numId w:val="0"/>
        </w:numPr>
        <w:wordWrap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“一般公共服务支出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（类）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1876.99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1097.57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专项经费预算减少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0"/>
          <w:szCs w:val="30"/>
        </w:rPr>
        <w:t>其中：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bookmarkStart w:id="9" w:name="_Toc78784576"/>
      <w:r>
        <w:rPr>
          <w:rFonts w:hint="eastAsia" w:ascii="仿宋_GB2312" w:hAnsi="仿宋_GB2312" w:eastAsia="仿宋_GB2312" w:cs="仿宋_GB2312"/>
          <w:sz w:val="30"/>
          <w:szCs w:val="30"/>
        </w:rPr>
        <w:t>“财政事务（款）”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1826.99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万元，包括：“行政运行（项）”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1411.99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万元，主要用于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本单位人员及公用经费支出</w:t>
      </w:r>
      <w:r>
        <w:rPr>
          <w:rFonts w:hint="eastAsia" w:ascii="仿宋_GB2312" w:hAnsi="仿宋_GB2312" w:eastAsia="仿宋_GB2312" w:cs="仿宋_GB2312"/>
          <w:sz w:val="30"/>
          <w:szCs w:val="30"/>
        </w:rPr>
        <w:t>；“ 一般行政管理事务（项）”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415万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元，主要用于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eastAsia="zh-CN"/>
        </w:rPr>
        <w:t>投资评审费、绩效评价、专项财务审核服务等项目费用支出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00" w:firstLineChars="200"/>
        <w:jc w:val="both"/>
        <w:textAlignment w:val="baseline"/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政府办公厅（室）及相关机构事务</w:t>
      </w:r>
      <w:r>
        <w:rPr>
          <w:rFonts w:hint="eastAsia" w:ascii="仿宋_GB2312" w:hAnsi="仿宋_GB2312" w:eastAsia="仿宋_GB2312" w:cs="仿宋_GB2312"/>
          <w:sz w:val="30"/>
          <w:szCs w:val="30"/>
        </w:rPr>
        <w:t>（款）”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万元，包括：“一般行政管理事务（项）”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50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万元，主要用于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eastAsia="zh-CN"/>
        </w:rPr>
        <w:t>软件开发运维费用支出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六、</w:t>
      </w:r>
      <w:bookmarkEnd w:id="9"/>
      <w:r>
        <w:rPr>
          <w:rFonts w:hint="eastAsia" w:ascii="仿宋_GB2312" w:hAnsi="仿宋_GB2312" w:eastAsia="仿宋_GB2312" w:cs="仿宋_GB2312"/>
          <w:b/>
          <w:sz w:val="30"/>
          <w:szCs w:val="30"/>
        </w:rPr>
        <w:t>关于财政拨款一般公共预算基本支出预算表的说明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本部门一般公共预算基本支出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1411.99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127.57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  <w:lang w:eastAsia="zh-CN"/>
        </w:rPr>
        <w:t>本单位人员经费预算减少</w:t>
      </w:r>
      <w:r>
        <w:rPr>
          <w:rFonts w:hint="eastAsia" w:ascii="仿宋_GB2312" w:hAnsi="仿宋_GB2312" w:eastAsia="仿宋_GB2312" w:cs="仿宋_GB2312"/>
          <w:sz w:val="30"/>
          <w:szCs w:val="30"/>
        </w:rPr>
        <w:t>。其中：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人员经费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1360.23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万元，主要包括：基本工资、津贴补贴、机关事业单位基本养老保险缴费、职业年金缴费、职工基本医疗保险缴费、其他社会保障缴费、住房公积金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。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公用经费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51.76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万元，主要包括：办公费、印刷费、手续费、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水费</w:t>
      </w:r>
      <w:r>
        <w:rPr>
          <w:rFonts w:hint="eastAsia" w:ascii="仿宋_GB2312" w:hAnsi="仿宋_GB2312" w:eastAsia="仿宋_GB2312" w:cs="仿宋_GB2312"/>
          <w:sz w:val="30"/>
          <w:szCs w:val="30"/>
        </w:rPr>
        <w:t>、邮电费、差旅费、维修(护)费、培训费、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劳务</w:t>
      </w:r>
      <w:r>
        <w:rPr>
          <w:rFonts w:hint="eastAsia" w:ascii="仿宋_GB2312" w:hAnsi="仿宋_GB2312" w:eastAsia="仿宋_GB2312" w:cs="仿宋_GB2312"/>
          <w:sz w:val="30"/>
          <w:szCs w:val="30"/>
        </w:rPr>
        <w:t>费、其他交通费用、其他商品和服务支出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、办公设备购置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10" w:name="_Toc78784577"/>
      <w:r>
        <w:rPr>
          <w:rFonts w:hint="eastAsia" w:ascii="仿宋_GB2312" w:hAnsi="仿宋_GB2312" w:eastAsia="仿宋_GB2312" w:cs="仿宋_GB2312"/>
          <w:b/>
          <w:sz w:val="30"/>
          <w:szCs w:val="30"/>
        </w:rPr>
        <w:t>七、关于财政拨款一般公共预算“三公”经费支出预算表的说明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non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2025年一般公共预算“三公”经费安排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本部门2025年一般公共预算未安排“三公”经费</w:t>
      </w:r>
      <w:r>
        <w:rPr>
          <w:rFonts w:hint="eastAsia" w:ascii="仿宋_GB2312" w:hAnsi="仿宋_GB2312" w:eastAsia="仿宋_GB2312" w:cs="仿宋_GB2312"/>
          <w:sz w:val="30"/>
          <w:szCs w:val="30"/>
          <w:u w:val="none"/>
          <w:lang w:val="en-US" w:eastAsia="zh-CN"/>
        </w:rPr>
        <w:t>。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具体情况：</w:t>
      </w:r>
    </w:p>
    <w:p>
      <w:pPr>
        <w:spacing w:line="56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（一）2025年因公出国（境）费预算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0.5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本部门2025年预算未安排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因公出国（境）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经费。</w:t>
      </w:r>
    </w:p>
    <w:p>
      <w:pPr>
        <w:spacing w:line="560" w:lineRule="exact"/>
        <w:ind w:firstLine="600" w:firstLineChars="200"/>
        <w:jc w:val="both"/>
        <w:rPr>
          <w:rFonts w:hint="eastAsia" w:ascii="仿宋_GB2312" w:hAnsi="仿宋_GB2312" w:eastAsia="仿宋_GB2312" w:cs="仿宋_GB2312"/>
          <w:sz w:val="30"/>
          <w:szCs w:val="30"/>
          <w:u w:val="single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（二）2025年公务用车购置及运行费预算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万元，其中公务用车运行费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本部门2025年预算未安排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公务用车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>运行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经费</w:t>
      </w:r>
      <w:r>
        <w:rPr>
          <w:rFonts w:hint="eastAsia" w:ascii="仿宋_GB2312" w:hAnsi="仿宋_GB2312" w:eastAsia="仿宋_GB2312" w:cs="仿宋_GB2312"/>
          <w:sz w:val="30"/>
          <w:szCs w:val="30"/>
        </w:rPr>
        <w:t>；公务用车购置费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本部门2025年预算未安排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公务用车购置经费。</w:t>
      </w:r>
    </w:p>
    <w:p>
      <w:pPr>
        <w:spacing w:line="560" w:lineRule="exact"/>
        <w:ind w:firstLine="645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（三）2025年公务接待费预算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本部门2025年预算未安排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公务接待经费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600" w:lineRule="exact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八、</w:t>
      </w:r>
      <w:bookmarkEnd w:id="10"/>
      <w:r>
        <w:rPr>
          <w:rFonts w:hint="eastAsia" w:ascii="仿宋_GB2312" w:hAnsi="仿宋_GB2312" w:eastAsia="仿宋_GB2312" w:cs="仿宋_GB2312"/>
          <w:b/>
          <w:sz w:val="30"/>
          <w:szCs w:val="30"/>
        </w:rPr>
        <w:t>关于财政拨款政府性基金预算支出预算表的说明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bookmarkStart w:id="11" w:name="_Toc78784578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2025年本部门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预算中没有使用政府性基金预算安排的支出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spacing w:line="600" w:lineRule="exact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九、</w:t>
      </w:r>
      <w:bookmarkEnd w:id="11"/>
      <w:r>
        <w:rPr>
          <w:rFonts w:hint="eastAsia" w:ascii="仿宋_GB2312" w:hAnsi="仿宋_GB2312" w:eastAsia="仿宋_GB2312" w:cs="仿宋_GB2312"/>
          <w:b/>
          <w:sz w:val="30"/>
          <w:szCs w:val="30"/>
        </w:rPr>
        <w:t>关于国有资本经营预算支出预算表的说明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2025年本部门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预算中没有使用国有资本经营预算安排的支出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</w:p>
    <w:p>
      <w:pPr>
        <w:rPr>
          <w:rFonts w:hint="eastAsia" w:ascii="仿宋_GB2312" w:hAnsi="仿宋_GB2312" w:eastAsia="仿宋_GB2312" w:cs="仿宋_GB2312"/>
        </w:rPr>
      </w:pPr>
    </w:p>
    <w:p>
      <w:pPr>
        <w:spacing w:line="600" w:lineRule="exact"/>
        <w:ind w:firstLine="602" w:firstLine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bookmarkStart w:id="12" w:name="_Toc78784579"/>
      <w:r>
        <w:rPr>
          <w:rFonts w:hint="eastAsia" w:ascii="仿宋_GB2312" w:hAnsi="仿宋_GB2312" w:eastAsia="仿宋_GB2312" w:cs="仿宋_GB2312"/>
          <w:b/>
          <w:sz w:val="30"/>
          <w:szCs w:val="30"/>
        </w:rPr>
        <w:t>十、其他重要事项的情况说明</w:t>
      </w:r>
    </w:p>
    <w:bookmarkEnd w:id="12"/>
    <w:p>
      <w:pPr>
        <w:spacing w:line="600" w:lineRule="exact"/>
        <w:ind w:left="480" w:left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（一）机关运行经费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14" w:name="_GoBack"/>
      <w:bookmarkEnd w:id="1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2025年本部门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机关运行经费预算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51.76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万元，包括办公费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10.15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万元、印刷费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0.08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万元、水费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" w:eastAsia="zh-CN"/>
        </w:rPr>
        <w:t>.5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万元、手续费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" w:eastAsia="zh-CN"/>
        </w:rPr>
        <w:t>0.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05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万元、邮电费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0.02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万元、差旅费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" w:eastAsia="zh-CN"/>
        </w:rPr>
        <w:t>5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万元、培训费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劳务</w:t>
      </w:r>
      <w:r>
        <w:rPr>
          <w:rFonts w:hint="eastAsia" w:ascii="仿宋_GB2312" w:hAnsi="仿宋_GB2312" w:eastAsia="仿宋_GB2312" w:cs="仿宋_GB2312"/>
          <w:sz w:val="32"/>
          <w:szCs w:val="32"/>
        </w:rPr>
        <w:t>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3.6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万元、维修（护）费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万元、其他交通费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15.6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万元、其他商品和服务支出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9.46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万元、办公设备购置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 。</w:t>
      </w:r>
    </w:p>
    <w:p>
      <w:pPr>
        <w:spacing w:line="600" w:lineRule="exact"/>
        <w:ind w:firstLine="562" w:firstLineChars="200"/>
        <w:rPr>
          <w:rFonts w:hint="eastAsia" w:ascii="仿宋_GB2312" w:hAnsi="仿宋_GB2312" w:eastAsia="仿宋_GB2312" w:cs="仿宋_GB2312"/>
          <w:b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（二）政府采购情况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ind w:firstLine="640" w:firstLineChars="200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本部门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年安排政府采购预算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384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万元，其中：政府采购货物支出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万元、政府采购工程支出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万元、政府采购服务支出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378万</w:t>
      </w:r>
      <w:r>
        <w:rPr>
          <w:rFonts w:hint="eastAsia" w:ascii="仿宋_GB2312" w:hAnsi="仿宋_GB2312" w:eastAsia="仿宋_GB2312" w:cs="仿宋_GB2312"/>
          <w:sz w:val="32"/>
          <w:szCs w:val="32"/>
        </w:rPr>
        <w:t>元。主要项目是：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综合工作专项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62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投资评审项目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316 </w:t>
      </w:r>
      <w:r>
        <w:rPr>
          <w:rFonts w:hint="eastAsia" w:ascii="仿宋_GB2312" w:hAnsi="仿宋_GB2312" w:eastAsia="仿宋_GB2312" w:cs="仿宋_GB2312"/>
          <w:sz w:val="32"/>
          <w:szCs w:val="32"/>
        </w:rPr>
        <w:t>万元。</w:t>
      </w:r>
    </w:p>
    <w:p>
      <w:pPr>
        <w:spacing w:line="600" w:lineRule="exact"/>
        <w:ind w:left="480" w:left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（三）国有资产占用情况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4080"/>
          <w:sz w:val="27"/>
          <w:szCs w:val="27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截至2024年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月底，本部门各单位共有车辆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辆，其中：副部（省）级及以上领导用车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辆、主要负责人干部用车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辆、机要通信用车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辆、应急保障用车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辆、执法执勤用车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辆、特种专业技术用车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辆、离退休干部服务用车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辆、其他用车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辆。单价（账面原值）100万以上的设备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台（套）。</w:t>
      </w:r>
      <w:r>
        <w:rPr>
          <w:rFonts w:hint="eastAsia" w:ascii="仿宋_GB2312" w:hAnsi="仿宋_GB2312" w:eastAsia="仿宋_GB2312" w:cs="仿宋_GB2312"/>
          <w:color w:val="004080"/>
          <w:sz w:val="27"/>
          <w:szCs w:val="27"/>
          <w:lang w:val="zh-CN"/>
        </w:rPr>
        <w:t xml:space="preserve"> </w:t>
      </w:r>
    </w:p>
    <w:p>
      <w:pPr>
        <w:spacing w:line="600" w:lineRule="exact"/>
        <w:ind w:left="480" w:left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（四）预算绩效情况说明</w:t>
      </w:r>
    </w:p>
    <w:p>
      <w:pPr>
        <w:spacing w:line="580" w:lineRule="exact"/>
        <w:ind w:left="151" w:leftChars="63" w:firstLine="450" w:firstLineChars="15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本部门2025年实行绩效目标管理的项目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个，涉及预算金额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>465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元。</w:t>
      </w:r>
      <w:bookmarkStart w:id="13" w:name="_Toc78784585"/>
    </w:p>
    <w:p>
      <w:pPr>
        <w:spacing w:line="580" w:lineRule="exact"/>
        <w:ind w:left="151" w:leftChars="63" w:firstLine="450" w:firstLineChars="15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spacing w:line="580" w:lineRule="exact"/>
        <w:ind w:left="151" w:leftChars="63" w:firstLine="450" w:firstLineChars="15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spacing w:line="580" w:lineRule="exact"/>
        <w:ind w:left="151" w:leftChars="63" w:firstLine="450" w:firstLineChars="15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spacing w:line="580" w:lineRule="exact"/>
        <w:ind w:left="151" w:leftChars="63" w:firstLine="450" w:firstLineChars="150"/>
        <w:jc w:val="both"/>
        <w:rPr>
          <w:rFonts w:hint="eastAsia" w:ascii="仿宋_GB2312" w:hAnsi="仿宋_GB2312" w:eastAsia="仿宋_GB2312" w:cs="仿宋_GB2312"/>
          <w:color w:val="000000"/>
          <w:sz w:val="30"/>
          <w:szCs w:val="30"/>
          <w:lang w:val="en-US" w:eastAsia="zh-CN"/>
        </w:rPr>
      </w:pPr>
    </w:p>
    <w:p>
      <w:pPr>
        <w:pStyle w:val="2"/>
        <w:keepLines w:val="0"/>
        <w:spacing w:line="600" w:lineRule="exact"/>
        <w:jc w:val="center"/>
        <w:rPr>
          <w:rFonts w:hint="eastAsia" w:ascii="仿宋_GB2312" w:hAnsi="仿宋_GB2312" w:eastAsia="仿宋_GB2312" w:cs="仿宋_GB2312"/>
          <w:b w:val="0"/>
          <w:sz w:val="48"/>
          <w:szCs w:val="48"/>
        </w:rPr>
      </w:pPr>
      <w:r>
        <w:rPr>
          <w:rFonts w:hint="eastAsia" w:ascii="仿宋_GB2312" w:hAnsi="仿宋_GB2312" w:eastAsia="仿宋_GB2312" w:cs="仿宋_GB2312"/>
          <w:b w:val="0"/>
          <w:sz w:val="48"/>
          <w:szCs w:val="48"/>
        </w:rPr>
        <w:t>第三部分  名词解释</w:t>
      </w:r>
      <w:bookmarkEnd w:id="13"/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1.部门预算。</w:t>
      </w:r>
      <w:r>
        <w:rPr>
          <w:rFonts w:hint="eastAsia" w:ascii="仿宋_GB2312" w:hAnsi="仿宋_GB2312" w:eastAsia="仿宋_GB2312" w:cs="仿宋_GB2312"/>
          <w:sz w:val="30"/>
          <w:szCs w:val="30"/>
        </w:rPr>
        <w:t>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80" w:lineRule="exact"/>
        <w:ind w:firstLine="602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2. 机关运行经费。</w:t>
      </w:r>
      <w:r>
        <w:rPr>
          <w:rFonts w:hint="eastAsia" w:ascii="仿宋_GB2312" w:hAnsi="仿宋_GB2312" w:eastAsia="仿宋_GB2312" w:cs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。</w:t>
      </w: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</w:p>
    <w:p>
      <w:pPr>
        <w:pStyle w:val="2"/>
        <w:keepNext w:val="0"/>
        <w:keepLines w:val="0"/>
        <w:spacing w:line="600" w:lineRule="exact"/>
        <w:jc w:val="center"/>
        <w:rPr>
          <w:rFonts w:hint="eastAsia" w:ascii="仿宋_GB2312" w:hAnsi="仿宋_GB2312" w:eastAsia="仿宋_GB2312" w:cs="仿宋_GB2312"/>
          <w:b w:val="0"/>
          <w:sz w:val="48"/>
          <w:szCs w:val="48"/>
        </w:rPr>
      </w:pPr>
    </w:p>
    <w:p>
      <w:pPr>
        <w:pStyle w:val="2"/>
        <w:keepNext w:val="0"/>
        <w:keepLines w:val="0"/>
        <w:spacing w:line="600" w:lineRule="exact"/>
        <w:jc w:val="both"/>
        <w:rPr>
          <w:rFonts w:hint="eastAsia" w:ascii="仿宋_GB2312" w:hAnsi="仿宋_GB2312" w:eastAsia="仿宋_GB2312" w:cs="仿宋_GB2312"/>
          <w:b w:val="0"/>
          <w:sz w:val="48"/>
          <w:szCs w:val="48"/>
        </w:rPr>
      </w:pPr>
    </w:p>
    <w:p>
      <w:pPr>
        <w:rPr>
          <w:rFonts w:hint="eastAsia" w:ascii="仿宋_GB2312" w:hAnsi="仿宋_GB2312" w:eastAsia="仿宋_GB2312" w:cs="仿宋_GB2312"/>
          <w:b w:val="0"/>
          <w:sz w:val="48"/>
          <w:szCs w:val="48"/>
        </w:rPr>
      </w:pPr>
    </w:p>
    <w:p>
      <w:pPr>
        <w:rPr>
          <w:rFonts w:hint="eastAsia" w:ascii="仿宋_GB2312" w:hAnsi="仿宋_GB2312" w:eastAsia="仿宋_GB2312" w:cs="仿宋_GB2312"/>
          <w:b w:val="0"/>
          <w:sz w:val="48"/>
          <w:szCs w:val="48"/>
        </w:rPr>
      </w:pPr>
    </w:p>
    <w:p>
      <w:pPr>
        <w:pStyle w:val="2"/>
        <w:keepNext w:val="0"/>
        <w:keepLines w:val="0"/>
        <w:spacing w:line="600" w:lineRule="exact"/>
        <w:jc w:val="center"/>
        <w:rPr>
          <w:rFonts w:hint="eastAsia" w:ascii="仿宋_GB2312" w:hAnsi="仿宋_GB2312" w:eastAsia="仿宋_GB2312" w:cs="仿宋_GB2312"/>
          <w:b w:val="0"/>
          <w:sz w:val="48"/>
          <w:szCs w:val="48"/>
        </w:rPr>
      </w:pPr>
      <w:r>
        <w:rPr>
          <w:rFonts w:hint="eastAsia" w:ascii="仿宋_GB2312" w:hAnsi="仿宋_GB2312" w:eastAsia="仿宋_GB2312" w:cs="仿宋_GB2312"/>
          <w:b w:val="0"/>
          <w:sz w:val="48"/>
          <w:szCs w:val="48"/>
        </w:rPr>
        <w:t>第四部分  2025年部门预算表</w:t>
      </w:r>
    </w:p>
    <w:p>
      <w:pPr>
        <w:spacing w:line="600" w:lineRule="exact"/>
        <w:ind w:firstLine="594" w:firstLineChars="198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一、2025年收支预算总表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二、2025年收入预算总表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三、2025年支出预算总表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四、2025年财政拨款收支预算总表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五、2025年财政拨款一般公共预算支出预算表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六、2025年财政拨款一般公共预算基本支出预算表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七、2025年财政拨款一般公共预算“三公”经费支出预算表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八、2025年财政拨款政府性基金预算支出预算表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九、2025年国有资本经营预算支出预算表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十、2025年项目支出预算表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十一、2025年财政拨款政府采购预算表</w:t>
      </w:r>
    </w:p>
    <w:p>
      <w:pPr>
        <w:spacing w:line="560" w:lineRule="exact"/>
        <w:ind w:left="480" w:leftChars="200" w:firstLine="147" w:firstLineChars="49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十二、关于空表的说明</w:t>
      </w:r>
      <w:r>
        <w:rPr>
          <w:rFonts w:hint="eastAsia" w:ascii="仿宋_GB2312" w:hAnsi="仿宋_GB2312" w:eastAsia="仿宋_GB2312" w:cs="仿宋_GB2312"/>
          <w:sz w:val="30"/>
          <w:szCs w:val="30"/>
        </w:rPr>
        <w:tab/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1、 </w:t>
      </w:r>
      <w:r>
        <w:rPr>
          <w:rFonts w:hint="eastAsia" w:ascii="仿宋_GB2312" w:hAnsi="仿宋_GB2312" w:eastAsia="仿宋_GB2312" w:cs="仿宋_GB2312"/>
          <w:sz w:val="32"/>
          <w:szCs w:val="32"/>
        </w:rPr>
        <w:t>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</w:rPr>
        <w:t>财政拨款一般公共预算“三公”经费支出预算表</w:t>
      </w:r>
      <w:r>
        <w:rPr>
          <w:rFonts w:hint="eastAsia" w:ascii="仿宋_GB2312" w:hAnsi="仿宋_GB2312" w:eastAsia="仿宋_GB2312" w:cs="仿宋_GB2312"/>
          <w:sz w:val="32"/>
          <w:szCs w:val="32"/>
        </w:rPr>
        <w:t>为空表。</w:t>
      </w:r>
    </w:p>
    <w:p>
      <w:pPr>
        <w:spacing w:line="60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、 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年财政拨款政府性基金预算支出预算表为空表。</w:t>
      </w:r>
    </w:p>
    <w:p>
      <w:pPr>
        <w:numPr>
          <w:ilvl w:val="0"/>
          <w:numId w:val="0"/>
        </w:num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、 本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2025</w:t>
      </w:r>
      <w:r>
        <w:rPr>
          <w:rFonts w:hint="eastAsia" w:ascii="仿宋_GB2312" w:hAnsi="仿宋_GB2312" w:eastAsia="仿宋_GB2312" w:cs="仿宋_GB2312"/>
          <w:sz w:val="32"/>
          <w:szCs w:val="32"/>
        </w:rPr>
        <w:t>年国有资本经营预算支出情况表为空表。</w:t>
      </w:r>
    </w:p>
    <w:p>
      <w:pPr>
        <w:spacing w:line="580" w:lineRule="exact"/>
        <w:ind w:firstLine="600" w:firstLineChars="200"/>
        <w:rPr>
          <w:rFonts w:eastAsia="楷体_GB2312"/>
          <w:color w:val="FF0000"/>
          <w:sz w:val="30"/>
          <w:szCs w:val="30"/>
        </w:rPr>
      </w:pPr>
    </w:p>
    <w:sectPr>
      <w:footerReference r:id="rId8" w:type="default"/>
      <w:pgSz w:w="11907" w:h="16840"/>
      <w:pgMar w:top="2098" w:right="1474" w:bottom="1304" w:left="1588" w:header="765" w:footer="765" w:gutter="0"/>
      <w:pgNumType w:fmt="numberInDash" w:start="1"/>
      <w:cols w:space="720" w:num="1"/>
      <w:rtlGutter w:val="0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erif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77"/>
    <w:rsid w:val="0001204D"/>
    <w:rsid w:val="00012D48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38DE"/>
    <w:rsid w:val="00066DA5"/>
    <w:rsid w:val="00081133"/>
    <w:rsid w:val="00082771"/>
    <w:rsid w:val="00093F1A"/>
    <w:rsid w:val="00097C4D"/>
    <w:rsid w:val="000A4C45"/>
    <w:rsid w:val="000A6A5A"/>
    <w:rsid w:val="000A750A"/>
    <w:rsid w:val="000B1B04"/>
    <w:rsid w:val="000B5758"/>
    <w:rsid w:val="000C1D30"/>
    <w:rsid w:val="000C211F"/>
    <w:rsid w:val="000C3FFB"/>
    <w:rsid w:val="000C5349"/>
    <w:rsid w:val="000C704F"/>
    <w:rsid w:val="000D1BEF"/>
    <w:rsid w:val="000E221E"/>
    <w:rsid w:val="000E5A14"/>
    <w:rsid w:val="000F2DDD"/>
    <w:rsid w:val="00101B9A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0516"/>
    <w:rsid w:val="001616F8"/>
    <w:rsid w:val="001639E6"/>
    <w:rsid w:val="0016548E"/>
    <w:rsid w:val="00167781"/>
    <w:rsid w:val="00173D03"/>
    <w:rsid w:val="0017420B"/>
    <w:rsid w:val="001743A6"/>
    <w:rsid w:val="0019552B"/>
    <w:rsid w:val="001A1316"/>
    <w:rsid w:val="001A58F7"/>
    <w:rsid w:val="001B26CD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3A70"/>
    <w:rsid w:val="002456BF"/>
    <w:rsid w:val="00247B07"/>
    <w:rsid w:val="00252DD7"/>
    <w:rsid w:val="002568D5"/>
    <w:rsid w:val="0026664B"/>
    <w:rsid w:val="00275986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2F6622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A77B0"/>
    <w:rsid w:val="004B0888"/>
    <w:rsid w:val="004C0EED"/>
    <w:rsid w:val="004C1F92"/>
    <w:rsid w:val="004C3B81"/>
    <w:rsid w:val="004D2A21"/>
    <w:rsid w:val="004E5901"/>
    <w:rsid w:val="004E7F96"/>
    <w:rsid w:val="004F1D8F"/>
    <w:rsid w:val="004F304B"/>
    <w:rsid w:val="00500E62"/>
    <w:rsid w:val="00507FC2"/>
    <w:rsid w:val="0051134F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0FFE"/>
    <w:rsid w:val="00585D27"/>
    <w:rsid w:val="0058731A"/>
    <w:rsid w:val="00587691"/>
    <w:rsid w:val="0059010F"/>
    <w:rsid w:val="0059248B"/>
    <w:rsid w:val="00595115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317F"/>
    <w:rsid w:val="006A57EE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37A20"/>
    <w:rsid w:val="0074381E"/>
    <w:rsid w:val="00754417"/>
    <w:rsid w:val="0078521D"/>
    <w:rsid w:val="00795DC2"/>
    <w:rsid w:val="007A5596"/>
    <w:rsid w:val="007B750A"/>
    <w:rsid w:val="007C0CD1"/>
    <w:rsid w:val="007C220B"/>
    <w:rsid w:val="007C257B"/>
    <w:rsid w:val="007C27C2"/>
    <w:rsid w:val="007C4FF4"/>
    <w:rsid w:val="007C5704"/>
    <w:rsid w:val="007E011D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1709C"/>
    <w:rsid w:val="009224E2"/>
    <w:rsid w:val="00922C71"/>
    <w:rsid w:val="00931ADF"/>
    <w:rsid w:val="009339F5"/>
    <w:rsid w:val="00933DD8"/>
    <w:rsid w:val="00934F3E"/>
    <w:rsid w:val="00937D77"/>
    <w:rsid w:val="00944267"/>
    <w:rsid w:val="00946BC0"/>
    <w:rsid w:val="00951511"/>
    <w:rsid w:val="0095553A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1B34"/>
    <w:rsid w:val="00A82A7D"/>
    <w:rsid w:val="00A8708A"/>
    <w:rsid w:val="00A918A4"/>
    <w:rsid w:val="00A91C28"/>
    <w:rsid w:val="00A96D04"/>
    <w:rsid w:val="00AB093E"/>
    <w:rsid w:val="00AB385B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5771C"/>
    <w:rsid w:val="00B66FA2"/>
    <w:rsid w:val="00B73DE5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27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1BC8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CF57E8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0F72"/>
    <w:rsid w:val="00DF2103"/>
    <w:rsid w:val="00DF4EF1"/>
    <w:rsid w:val="00DF6570"/>
    <w:rsid w:val="00E01833"/>
    <w:rsid w:val="00E27103"/>
    <w:rsid w:val="00E37F65"/>
    <w:rsid w:val="00E407D2"/>
    <w:rsid w:val="00E51564"/>
    <w:rsid w:val="00E62551"/>
    <w:rsid w:val="00E6262F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04CF2237"/>
    <w:rsid w:val="09283B87"/>
    <w:rsid w:val="0B1F6D8A"/>
    <w:rsid w:val="0BDD5F3A"/>
    <w:rsid w:val="0C0FC6C6"/>
    <w:rsid w:val="0FF73214"/>
    <w:rsid w:val="11BA0DF2"/>
    <w:rsid w:val="16D5D598"/>
    <w:rsid w:val="17F7602D"/>
    <w:rsid w:val="19B05792"/>
    <w:rsid w:val="19BF19DD"/>
    <w:rsid w:val="1A5EF0D0"/>
    <w:rsid w:val="1BDF7941"/>
    <w:rsid w:val="1BF19F9C"/>
    <w:rsid w:val="1D681DEC"/>
    <w:rsid w:val="1E7E1C1D"/>
    <w:rsid w:val="1EDC06ED"/>
    <w:rsid w:val="1FAF8C11"/>
    <w:rsid w:val="1FBF22DF"/>
    <w:rsid w:val="1FBF3144"/>
    <w:rsid w:val="1FFFE881"/>
    <w:rsid w:val="22FF5077"/>
    <w:rsid w:val="25FE6C70"/>
    <w:rsid w:val="268758BC"/>
    <w:rsid w:val="26E35DAD"/>
    <w:rsid w:val="2A7BB5A4"/>
    <w:rsid w:val="2BF97669"/>
    <w:rsid w:val="2F0F0BFB"/>
    <w:rsid w:val="2FE77CA4"/>
    <w:rsid w:val="316F2DA7"/>
    <w:rsid w:val="33DF2940"/>
    <w:rsid w:val="3557428F"/>
    <w:rsid w:val="358F7D84"/>
    <w:rsid w:val="363D797A"/>
    <w:rsid w:val="38E64C16"/>
    <w:rsid w:val="38FF2545"/>
    <w:rsid w:val="3997E0DC"/>
    <w:rsid w:val="3AE3D8AC"/>
    <w:rsid w:val="3BD18DD5"/>
    <w:rsid w:val="3BFF6FC3"/>
    <w:rsid w:val="3BFF87BB"/>
    <w:rsid w:val="3C283D1E"/>
    <w:rsid w:val="3CFBF50A"/>
    <w:rsid w:val="3D407E3C"/>
    <w:rsid w:val="3E2FE05B"/>
    <w:rsid w:val="3EF16900"/>
    <w:rsid w:val="3F9E8FC0"/>
    <w:rsid w:val="3F9ECF8A"/>
    <w:rsid w:val="3FA15ED7"/>
    <w:rsid w:val="3FBAA72B"/>
    <w:rsid w:val="3FBE184D"/>
    <w:rsid w:val="3FCB28EB"/>
    <w:rsid w:val="3FDA8C3B"/>
    <w:rsid w:val="3FDD4E6A"/>
    <w:rsid w:val="3FDEA832"/>
    <w:rsid w:val="3FDF2C08"/>
    <w:rsid w:val="3FDFF73D"/>
    <w:rsid w:val="3FFB51D5"/>
    <w:rsid w:val="3FFB5FFC"/>
    <w:rsid w:val="40956B0D"/>
    <w:rsid w:val="46AF814E"/>
    <w:rsid w:val="47CF3CD1"/>
    <w:rsid w:val="47FBE285"/>
    <w:rsid w:val="48FE418C"/>
    <w:rsid w:val="49ACE989"/>
    <w:rsid w:val="49BC6181"/>
    <w:rsid w:val="49FCA1CB"/>
    <w:rsid w:val="4DFB1FF5"/>
    <w:rsid w:val="4E1E02D7"/>
    <w:rsid w:val="4F204931"/>
    <w:rsid w:val="4F2E0A3A"/>
    <w:rsid w:val="4FBF81CF"/>
    <w:rsid w:val="4FEDC0FA"/>
    <w:rsid w:val="4FFA452B"/>
    <w:rsid w:val="537F59D1"/>
    <w:rsid w:val="539B6001"/>
    <w:rsid w:val="53D7410B"/>
    <w:rsid w:val="53F692CC"/>
    <w:rsid w:val="55E723B3"/>
    <w:rsid w:val="5963934F"/>
    <w:rsid w:val="59FD65EF"/>
    <w:rsid w:val="5A7B60C3"/>
    <w:rsid w:val="5AFFCEB5"/>
    <w:rsid w:val="5B7842BB"/>
    <w:rsid w:val="5BAF9267"/>
    <w:rsid w:val="5BBE5F6F"/>
    <w:rsid w:val="5BFD6A9E"/>
    <w:rsid w:val="5CAFD758"/>
    <w:rsid w:val="5CF4C4CD"/>
    <w:rsid w:val="5DFFF636"/>
    <w:rsid w:val="5EAB1AB4"/>
    <w:rsid w:val="5EEBD63B"/>
    <w:rsid w:val="5EFE4634"/>
    <w:rsid w:val="5FAFFC42"/>
    <w:rsid w:val="5FBB3809"/>
    <w:rsid w:val="5FBF3A70"/>
    <w:rsid w:val="5FD5B43A"/>
    <w:rsid w:val="5FDD60AA"/>
    <w:rsid w:val="5FF711DE"/>
    <w:rsid w:val="5FFDA9F4"/>
    <w:rsid w:val="5FFE249F"/>
    <w:rsid w:val="5FFEF5A0"/>
    <w:rsid w:val="5FFF2C6F"/>
    <w:rsid w:val="5FFFF30C"/>
    <w:rsid w:val="657F2835"/>
    <w:rsid w:val="66FF1039"/>
    <w:rsid w:val="678A44CF"/>
    <w:rsid w:val="693A5856"/>
    <w:rsid w:val="6967B16C"/>
    <w:rsid w:val="69AED984"/>
    <w:rsid w:val="69B37FBF"/>
    <w:rsid w:val="69CD2387"/>
    <w:rsid w:val="6A2D5246"/>
    <w:rsid w:val="6B27AD81"/>
    <w:rsid w:val="6BAD79A6"/>
    <w:rsid w:val="6BB8658D"/>
    <w:rsid w:val="6BEF8810"/>
    <w:rsid w:val="6BFF61A6"/>
    <w:rsid w:val="6DF7FD0F"/>
    <w:rsid w:val="6DFCBB70"/>
    <w:rsid w:val="6DFF5DCE"/>
    <w:rsid w:val="6EDEBD88"/>
    <w:rsid w:val="6EEB8AA4"/>
    <w:rsid w:val="6FA08544"/>
    <w:rsid w:val="6FBF2ACF"/>
    <w:rsid w:val="6FDEB233"/>
    <w:rsid w:val="6FEFBFD2"/>
    <w:rsid w:val="71F74FBB"/>
    <w:rsid w:val="739FD88E"/>
    <w:rsid w:val="73A82400"/>
    <w:rsid w:val="73D55884"/>
    <w:rsid w:val="746A8FB8"/>
    <w:rsid w:val="748F20DD"/>
    <w:rsid w:val="75F7B4D8"/>
    <w:rsid w:val="75FFC9BA"/>
    <w:rsid w:val="76F414CE"/>
    <w:rsid w:val="77665DA4"/>
    <w:rsid w:val="777DE2D0"/>
    <w:rsid w:val="77996FF6"/>
    <w:rsid w:val="77BF82A4"/>
    <w:rsid w:val="77BFA59D"/>
    <w:rsid w:val="77EF04D4"/>
    <w:rsid w:val="77EF36E0"/>
    <w:rsid w:val="77EFDD89"/>
    <w:rsid w:val="77F90227"/>
    <w:rsid w:val="77FBBC67"/>
    <w:rsid w:val="77FFF880"/>
    <w:rsid w:val="787FD2A1"/>
    <w:rsid w:val="79CEF366"/>
    <w:rsid w:val="79F5C633"/>
    <w:rsid w:val="7AF5E847"/>
    <w:rsid w:val="7B229962"/>
    <w:rsid w:val="7B3F8F34"/>
    <w:rsid w:val="7B5D4EF9"/>
    <w:rsid w:val="7B7DA5C6"/>
    <w:rsid w:val="7BBE1E81"/>
    <w:rsid w:val="7BBF4407"/>
    <w:rsid w:val="7BF5C756"/>
    <w:rsid w:val="7BFA6331"/>
    <w:rsid w:val="7BFF3906"/>
    <w:rsid w:val="7BFF5D39"/>
    <w:rsid w:val="7BFFD6EF"/>
    <w:rsid w:val="7C950F35"/>
    <w:rsid w:val="7CD7CBAD"/>
    <w:rsid w:val="7CDF0C31"/>
    <w:rsid w:val="7D3F8203"/>
    <w:rsid w:val="7D56D991"/>
    <w:rsid w:val="7D7F338E"/>
    <w:rsid w:val="7D7FFF41"/>
    <w:rsid w:val="7D9DF7F9"/>
    <w:rsid w:val="7DAF2633"/>
    <w:rsid w:val="7DB3B88C"/>
    <w:rsid w:val="7DC71A1C"/>
    <w:rsid w:val="7DD35B85"/>
    <w:rsid w:val="7DFF136A"/>
    <w:rsid w:val="7DFF4EC2"/>
    <w:rsid w:val="7E7B403F"/>
    <w:rsid w:val="7E89E551"/>
    <w:rsid w:val="7EB77E67"/>
    <w:rsid w:val="7ECE503D"/>
    <w:rsid w:val="7EDDCE8D"/>
    <w:rsid w:val="7EED7357"/>
    <w:rsid w:val="7EF799F2"/>
    <w:rsid w:val="7F2D6491"/>
    <w:rsid w:val="7F3F420B"/>
    <w:rsid w:val="7F5FD25F"/>
    <w:rsid w:val="7F7A0172"/>
    <w:rsid w:val="7F8EDB7E"/>
    <w:rsid w:val="7F8F7517"/>
    <w:rsid w:val="7F9DC947"/>
    <w:rsid w:val="7F9F42AA"/>
    <w:rsid w:val="7FAFD71B"/>
    <w:rsid w:val="7FB757ED"/>
    <w:rsid w:val="7FBE7A01"/>
    <w:rsid w:val="7FC753AF"/>
    <w:rsid w:val="7FDDA63E"/>
    <w:rsid w:val="7FEF0586"/>
    <w:rsid w:val="7FF77F23"/>
    <w:rsid w:val="7FF790EC"/>
    <w:rsid w:val="7FF7B79F"/>
    <w:rsid w:val="7FFD2AAA"/>
    <w:rsid w:val="7FFE7C93"/>
    <w:rsid w:val="7FFF7A0D"/>
    <w:rsid w:val="87FFF5BA"/>
    <w:rsid w:val="97BE116A"/>
    <w:rsid w:val="97EF1E4E"/>
    <w:rsid w:val="9AAEBD36"/>
    <w:rsid w:val="9ADD89C1"/>
    <w:rsid w:val="9DFF882C"/>
    <w:rsid w:val="9EF3BB08"/>
    <w:rsid w:val="9F5EF964"/>
    <w:rsid w:val="9FEA6701"/>
    <w:rsid w:val="9FEAF707"/>
    <w:rsid w:val="AF7718AF"/>
    <w:rsid w:val="AFFEC598"/>
    <w:rsid w:val="B3763D8A"/>
    <w:rsid w:val="B5D9BDB4"/>
    <w:rsid w:val="B6F86A73"/>
    <w:rsid w:val="B75F8DA1"/>
    <w:rsid w:val="B7A7EF1F"/>
    <w:rsid w:val="B7CFA7B7"/>
    <w:rsid w:val="B7EE8634"/>
    <w:rsid w:val="B7FF2640"/>
    <w:rsid w:val="B9F69088"/>
    <w:rsid w:val="B9FF414F"/>
    <w:rsid w:val="BB27FB9E"/>
    <w:rsid w:val="BB7B7F3E"/>
    <w:rsid w:val="BBF6A75A"/>
    <w:rsid w:val="BC2E07CB"/>
    <w:rsid w:val="BDC40889"/>
    <w:rsid w:val="BE12A96F"/>
    <w:rsid w:val="BEEFF874"/>
    <w:rsid w:val="BEFA17C9"/>
    <w:rsid w:val="BEFD6700"/>
    <w:rsid w:val="BEFFCFBA"/>
    <w:rsid w:val="BF59C923"/>
    <w:rsid w:val="BF5D5CD3"/>
    <w:rsid w:val="BF638E76"/>
    <w:rsid w:val="BF6724E3"/>
    <w:rsid w:val="BF6F6F99"/>
    <w:rsid w:val="BF7F4C57"/>
    <w:rsid w:val="BF7FBC78"/>
    <w:rsid w:val="BF7FEA83"/>
    <w:rsid w:val="BFAB4D2F"/>
    <w:rsid w:val="BFD894A8"/>
    <w:rsid w:val="BFDD8D62"/>
    <w:rsid w:val="BFEC8A9E"/>
    <w:rsid w:val="BFF5AD08"/>
    <w:rsid w:val="C27F53EA"/>
    <w:rsid w:val="C3FBD94E"/>
    <w:rsid w:val="C5FF0DE4"/>
    <w:rsid w:val="C7D7FC65"/>
    <w:rsid w:val="C7EB9681"/>
    <w:rsid w:val="CB1F9522"/>
    <w:rsid w:val="CBB83B73"/>
    <w:rsid w:val="CED77B06"/>
    <w:rsid w:val="CF6FFDDF"/>
    <w:rsid w:val="CFC200DC"/>
    <w:rsid w:val="D3ED3B30"/>
    <w:rsid w:val="D4F76880"/>
    <w:rsid w:val="D5EB916E"/>
    <w:rsid w:val="D65D408C"/>
    <w:rsid w:val="D6F6BCA8"/>
    <w:rsid w:val="D73E6D31"/>
    <w:rsid w:val="D74F1251"/>
    <w:rsid w:val="D7BEADC8"/>
    <w:rsid w:val="D7CC7693"/>
    <w:rsid w:val="D8FFA5AE"/>
    <w:rsid w:val="D9773AAD"/>
    <w:rsid w:val="D9AD773A"/>
    <w:rsid w:val="DB3ED97A"/>
    <w:rsid w:val="DCFCD19E"/>
    <w:rsid w:val="DCFFC8D2"/>
    <w:rsid w:val="DD7B470D"/>
    <w:rsid w:val="DDFE1CC5"/>
    <w:rsid w:val="DEE57D4B"/>
    <w:rsid w:val="DEFD9544"/>
    <w:rsid w:val="DEFFAB64"/>
    <w:rsid w:val="DF4B960F"/>
    <w:rsid w:val="DF5AE66F"/>
    <w:rsid w:val="DF768FCF"/>
    <w:rsid w:val="DFAE7E31"/>
    <w:rsid w:val="DFB21BB9"/>
    <w:rsid w:val="DFEF9B28"/>
    <w:rsid w:val="DFEFC01B"/>
    <w:rsid w:val="DFFBB74C"/>
    <w:rsid w:val="DFFDF7E2"/>
    <w:rsid w:val="E0FDBA61"/>
    <w:rsid w:val="E23BAF9B"/>
    <w:rsid w:val="E30FFC1C"/>
    <w:rsid w:val="E3FEA0EE"/>
    <w:rsid w:val="E5EDEB94"/>
    <w:rsid w:val="E6BF7E7C"/>
    <w:rsid w:val="E6BFAA22"/>
    <w:rsid w:val="E7F9F672"/>
    <w:rsid w:val="E84D4120"/>
    <w:rsid w:val="E99F68B3"/>
    <w:rsid w:val="EB6FA586"/>
    <w:rsid w:val="EB766092"/>
    <w:rsid w:val="EB77D75F"/>
    <w:rsid w:val="EBAFEB7D"/>
    <w:rsid w:val="EBDF8865"/>
    <w:rsid w:val="ECFC6B0B"/>
    <w:rsid w:val="EDEB577E"/>
    <w:rsid w:val="EDED69F2"/>
    <w:rsid w:val="EEEBD0DA"/>
    <w:rsid w:val="EEEF836B"/>
    <w:rsid w:val="EEFF3631"/>
    <w:rsid w:val="EF6694F6"/>
    <w:rsid w:val="EF6B0857"/>
    <w:rsid w:val="EF771129"/>
    <w:rsid w:val="EF7751A7"/>
    <w:rsid w:val="EF9ED531"/>
    <w:rsid w:val="EFC7E7ED"/>
    <w:rsid w:val="EFCA1A18"/>
    <w:rsid w:val="EFDC2137"/>
    <w:rsid w:val="EFDC33BE"/>
    <w:rsid w:val="EFFE8E1C"/>
    <w:rsid w:val="F1FB4D21"/>
    <w:rsid w:val="F1FF322A"/>
    <w:rsid w:val="F3A7C1DF"/>
    <w:rsid w:val="F3ABEC9A"/>
    <w:rsid w:val="F3FF848B"/>
    <w:rsid w:val="F46DBCD0"/>
    <w:rsid w:val="F4BF881E"/>
    <w:rsid w:val="F51C3534"/>
    <w:rsid w:val="F5797474"/>
    <w:rsid w:val="F5EFD2A5"/>
    <w:rsid w:val="F5F6D64E"/>
    <w:rsid w:val="F5FEFA28"/>
    <w:rsid w:val="F5FFF9A9"/>
    <w:rsid w:val="F6AD4E51"/>
    <w:rsid w:val="F6D1E246"/>
    <w:rsid w:val="F6EF2BA4"/>
    <w:rsid w:val="F6FE7C1E"/>
    <w:rsid w:val="F789A44C"/>
    <w:rsid w:val="F7BB5B3D"/>
    <w:rsid w:val="F7BE9B2B"/>
    <w:rsid w:val="F7D7B28B"/>
    <w:rsid w:val="F7DB4D6F"/>
    <w:rsid w:val="F7DF1037"/>
    <w:rsid w:val="F7F2F873"/>
    <w:rsid w:val="F7FDACD7"/>
    <w:rsid w:val="F7FF7C09"/>
    <w:rsid w:val="F8796A77"/>
    <w:rsid w:val="F95F17C1"/>
    <w:rsid w:val="F9FB2BA4"/>
    <w:rsid w:val="F9FB8B57"/>
    <w:rsid w:val="F9FC24D2"/>
    <w:rsid w:val="FA7F817F"/>
    <w:rsid w:val="FA970469"/>
    <w:rsid w:val="FAEEB1C0"/>
    <w:rsid w:val="FAFE085E"/>
    <w:rsid w:val="FAFEEB86"/>
    <w:rsid w:val="FAFF084E"/>
    <w:rsid w:val="FB75E79D"/>
    <w:rsid w:val="FBAFCD9E"/>
    <w:rsid w:val="FBBFF8E2"/>
    <w:rsid w:val="FBCBBC68"/>
    <w:rsid w:val="FBDA77B5"/>
    <w:rsid w:val="FBE9263E"/>
    <w:rsid w:val="FBE93AAA"/>
    <w:rsid w:val="FBEC7D0A"/>
    <w:rsid w:val="FBEFBDF2"/>
    <w:rsid w:val="FBFFF8E9"/>
    <w:rsid w:val="FC097106"/>
    <w:rsid w:val="FDCD6CB8"/>
    <w:rsid w:val="FDDFB88A"/>
    <w:rsid w:val="FDEB59F8"/>
    <w:rsid w:val="FDFB880F"/>
    <w:rsid w:val="FDFEAEC9"/>
    <w:rsid w:val="FDFF3F7E"/>
    <w:rsid w:val="FDFF7D15"/>
    <w:rsid w:val="FE9FDB1D"/>
    <w:rsid w:val="FEAD4EE9"/>
    <w:rsid w:val="FEDEE7D6"/>
    <w:rsid w:val="FEE72485"/>
    <w:rsid w:val="FEEB5B51"/>
    <w:rsid w:val="FEEF22EE"/>
    <w:rsid w:val="FEFBBF43"/>
    <w:rsid w:val="FEFF25D6"/>
    <w:rsid w:val="FEFFB76D"/>
    <w:rsid w:val="FF5F16F0"/>
    <w:rsid w:val="FF6F9703"/>
    <w:rsid w:val="FF77A4EF"/>
    <w:rsid w:val="FF7D0A71"/>
    <w:rsid w:val="FF7E2585"/>
    <w:rsid w:val="FF7FD22C"/>
    <w:rsid w:val="FF7FFE7E"/>
    <w:rsid w:val="FF979F38"/>
    <w:rsid w:val="FFB57D9D"/>
    <w:rsid w:val="FFD59B4B"/>
    <w:rsid w:val="FFD79121"/>
    <w:rsid w:val="FFDAD3A3"/>
    <w:rsid w:val="FFDFD9B3"/>
    <w:rsid w:val="FFE3C529"/>
    <w:rsid w:val="FFEE21C3"/>
    <w:rsid w:val="FFF70733"/>
    <w:rsid w:val="FFFA24B7"/>
    <w:rsid w:val="FFFB4581"/>
    <w:rsid w:val="FFFED001"/>
    <w:rsid w:val="FFFF97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S Serif" w:hAnsi="MS Serif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qFormat/>
    <w:uiPriority w:val="0"/>
    <w:pPr>
      <w:shd w:val="clear" w:color="auto" w:fill="000080"/>
    </w:pPr>
  </w:style>
  <w:style w:type="paragraph" w:styleId="5">
    <w:name w:val="Balloon Text"/>
    <w:basedOn w:val="1"/>
    <w:link w:val="16"/>
    <w:qFormat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11">
    <w:name w:val="page number"/>
    <w:qFormat/>
    <w:uiPriority w:val="0"/>
  </w:style>
  <w:style w:type="paragraph" w:customStyle="1" w:styleId="12">
    <w:name w:val="Char Char"/>
    <w:basedOn w:val="4"/>
    <w:qFormat/>
    <w:uiPriority w:val="0"/>
    <w:pPr>
      <w:adjustRightInd/>
      <w:spacing w:line="240" w:lineRule="auto"/>
      <w:jc w:val="both"/>
      <w:textAlignment w:val="auto"/>
    </w:pPr>
  </w:style>
  <w:style w:type="paragraph" w:styleId="13">
    <w:name w:val="List Paragraph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</w:rPr>
  </w:style>
  <w:style w:type="character" w:customStyle="1" w:styleId="14">
    <w:name w:val="标题 1 Char"/>
    <w:link w:val="2"/>
    <w:qFormat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5">
    <w:name w:val="标题 2 Char"/>
    <w:link w:val="3"/>
    <w:qFormat/>
    <w:uiPriority w:val="9"/>
    <w:rPr>
      <w:rFonts w:ascii="Cambria" w:hAnsi="Cambria"/>
      <w:b/>
      <w:bCs/>
      <w:sz w:val="32"/>
      <w:szCs w:val="32"/>
    </w:rPr>
  </w:style>
  <w:style w:type="character" w:customStyle="1" w:styleId="16">
    <w:name w:val="批注框文本 Char"/>
    <w:link w:val="5"/>
    <w:qFormat/>
    <w:uiPriority w:val="0"/>
    <w:rPr>
      <w:sz w:val="18"/>
      <w:szCs w:val="18"/>
    </w:rPr>
  </w:style>
  <w:style w:type="character" w:customStyle="1" w:styleId="17">
    <w:name w:val="页脚 Char"/>
    <w:link w:val="6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12</Pages>
  <Words>729</Words>
  <Characters>4158</Characters>
  <Lines>34</Lines>
  <Paragraphs>9</Paragraphs>
  <TotalTime>16</TotalTime>
  <ScaleCrop>false</ScaleCrop>
  <LinksUpToDate>false</LinksUpToDate>
  <CharactersWithSpaces>4878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2024-02-24T09:39:00Z</dcterms:created>
  <dc:creator>朱春礼</dc:creator>
  <cp:lastModifiedBy>user</cp:lastModifiedBy>
  <cp:lastPrinted>2025-02-08T23:18:00Z</cp:lastPrinted>
  <dcterms:modified xsi:type="dcterms:W3CDTF">2025-02-11T06:57:21Z</dcterms:modified>
  <dc:title>附件1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B7964ED0F4E14A3DB8251BE75879284B</vt:lpwstr>
  </property>
</Properties>
</file>