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svg" ContentType="image/svg+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20" w:lineRule="exact"/>
        <w:ind w:left="20"/>
        <w:jc w:val="center"/>
        <w:rPr>
          <w:rFonts w:ascii="微软雅黑" w:hAnsi="微软雅黑" w:eastAsia="微软雅黑" w:cs="方正小标宋简体"/>
          <w:b/>
          <w:sz w:val="44"/>
          <w:szCs w:val="44"/>
          <w:lang w:eastAsia="zh-CN"/>
        </w:rPr>
      </w:pPr>
      <w:bookmarkStart w:id="1" w:name="_GoBack"/>
      <w:bookmarkEnd w:id="1"/>
      <w:r>
        <w:rPr>
          <w:rFonts w:hint="eastAsia" w:ascii="微软雅黑" w:hAnsi="微软雅黑" w:eastAsia="微软雅黑" w:cs="方正小标宋简体"/>
          <w:b/>
          <w:sz w:val="44"/>
          <w:szCs w:val="44"/>
          <w:lang w:eastAsia="zh-CN"/>
        </w:rPr>
        <w:t>高新技术企业明白纸（2</w:t>
      </w:r>
      <w:r>
        <w:rPr>
          <w:rFonts w:ascii="微软雅黑" w:hAnsi="微软雅黑" w:eastAsia="微软雅黑" w:cs="方正小标宋简体"/>
          <w:b/>
          <w:sz w:val="44"/>
          <w:szCs w:val="44"/>
          <w:lang w:eastAsia="zh-CN"/>
        </w:rPr>
        <w:t>02</w:t>
      </w:r>
      <w:r>
        <w:rPr>
          <w:rFonts w:hint="eastAsia" w:ascii="微软雅黑" w:hAnsi="微软雅黑" w:eastAsia="微软雅黑" w:cs="方正小标宋简体"/>
          <w:b/>
          <w:sz w:val="44"/>
          <w:szCs w:val="44"/>
          <w:lang w:eastAsia="zh-CN"/>
        </w:rPr>
        <w:t>4版）</w:t>
      </w:r>
    </w:p>
    <w:p>
      <w:pPr>
        <w:tabs>
          <w:tab w:val="left" w:pos="2547"/>
        </w:tabs>
        <w:adjustRightInd w:val="0"/>
        <w:snapToGrid w:val="0"/>
        <w:spacing w:before="105" w:line="520" w:lineRule="exact"/>
        <w:ind w:left="20"/>
        <w:jc w:val="center"/>
        <w:rPr>
          <w:rFonts w:ascii="仿宋_GB2312" w:hAnsi="微软雅黑" w:eastAsia="仿宋_GB2312" w:cs="仿宋_GB2312"/>
          <w:sz w:val="32"/>
          <w:szCs w:val="32"/>
          <w:lang w:eastAsia="zh-CN"/>
        </w:rPr>
      </w:pPr>
      <w:r>
        <w:rPr>
          <w:rFonts w:hint="eastAsia" w:ascii="微软雅黑" w:hAnsi="微软雅黑" w:eastAsia="微软雅黑" w:cs="仿宋_GB2312"/>
          <w:sz w:val="32"/>
          <w:szCs w:val="32"/>
          <w:lang w:eastAsia="zh-CN"/>
        </w:rPr>
        <w:t>天津经开区科技局</w:t>
      </w:r>
      <w:r>
        <w:rPr>
          <w:rFonts w:hint="eastAsia" w:ascii="微软雅黑" w:hAnsi="微软雅黑" w:eastAsia="微软雅黑" w:cs="仿宋_GB2312"/>
          <w:sz w:val="32"/>
          <w:szCs w:val="32"/>
          <w:lang w:eastAsia="zh-CN"/>
        </w:rPr>
        <w:tab/>
      </w:r>
      <w:r>
        <w:rPr>
          <w:rFonts w:hint="eastAsia" w:ascii="微软雅黑" w:hAnsi="微软雅黑" w:eastAsia="微软雅黑" w:cs="仿宋_GB2312"/>
          <w:spacing w:val="-3"/>
          <w:sz w:val="32"/>
          <w:szCs w:val="32"/>
          <w:lang w:eastAsia="zh-CN"/>
        </w:rPr>
        <w:t>2024</w:t>
      </w:r>
      <w:r>
        <w:rPr>
          <w:rFonts w:hint="eastAsia" w:ascii="微软雅黑" w:hAnsi="微软雅黑" w:eastAsia="微软雅黑" w:cs="仿宋_GB2312"/>
          <w:sz w:val="32"/>
          <w:szCs w:val="32"/>
          <w:lang w:eastAsia="zh-CN"/>
        </w:rPr>
        <w:t>年7月</w:t>
      </w:r>
    </w:p>
    <w:p>
      <w:pPr>
        <w:tabs>
          <w:tab w:val="left" w:pos="2547"/>
        </w:tabs>
        <w:adjustRightInd w:val="0"/>
        <w:snapToGrid w:val="0"/>
        <w:spacing w:before="105" w:line="520" w:lineRule="exact"/>
        <w:ind w:left="20"/>
        <w:rPr>
          <w:rFonts w:ascii="微软雅黑" w:hAnsi="微软雅黑" w:eastAsia="微软雅黑" w:cs="仿宋_GB2312"/>
          <w:sz w:val="28"/>
          <w:szCs w:val="32"/>
          <w:lang w:eastAsia="zh-CN"/>
        </w:rPr>
      </w:pPr>
    </w:p>
    <w:p>
      <w:pPr>
        <w:pStyle w:val="8"/>
        <w:spacing w:before="0" w:beforeAutospacing="0" w:after="0" w:afterAutospacing="0" w:line="240" w:lineRule="atLeast"/>
        <w:jc w:val="both"/>
        <w:rPr>
          <w:rStyle w:val="14"/>
          <w:rFonts w:ascii="微软雅黑" w:hAnsi="微软雅黑" w:eastAsia="微软雅黑"/>
          <w:color w:val="215ACF"/>
          <w:spacing w:val="27"/>
          <w:sz w:val="28"/>
          <w:szCs w:val="32"/>
        </w:rPr>
      </w:pPr>
      <w:r>
        <w:rPr>
          <w:rStyle w:val="14"/>
          <w:rFonts w:hint="eastAsia" w:ascii="微软雅黑" w:hAnsi="微软雅黑" w:eastAsia="微软雅黑"/>
          <w:color w:val="215ACF"/>
          <w:spacing w:val="27"/>
          <w:sz w:val="28"/>
          <w:szCs w:val="32"/>
        </w:rPr>
        <w:t>一、高新技术企业可享受哪些政策？</w:t>
      </w:r>
    </w:p>
    <w:p>
      <w:pPr>
        <w:spacing w:line="240" w:lineRule="atLeast"/>
        <w:rPr>
          <w:rFonts w:ascii="微软雅黑" w:hAnsi="微软雅黑" w:eastAsia="微软雅黑" w:cs="宋体"/>
          <w:b/>
          <w:color w:val="333333"/>
          <w:spacing w:val="27"/>
          <w:sz w:val="28"/>
          <w:szCs w:val="32"/>
          <w:lang w:eastAsia="zh-CN"/>
        </w:rPr>
      </w:pPr>
      <w:r>
        <w:rPr>
          <w:rFonts w:hint="eastAsia" w:ascii="微软雅黑" w:hAnsi="微软雅黑" w:eastAsia="微软雅黑" w:cs="宋体"/>
          <w:b/>
          <w:color w:val="333333"/>
          <w:spacing w:val="27"/>
          <w:sz w:val="28"/>
          <w:szCs w:val="32"/>
          <w:lang w:eastAsia="zh-CN"/>
        </w:rPr>
        <w:t>（一）企业所得税</w:t>
      </w:r>
    </w:p>
    <w:p>
      <w:pPr>
        <w:spacing w:line="240" w:lineRule="atLeast"/>
        <w:rPr>
          <w:rFonts w:ascii="微软雅黑" w:hAnsi="微软雅黑" w:eastAsia="微软雅黑" w:cs="宋体"/>
          <w:color w:val="333333"/>
          <w:spacing w:val="27"/>
          <w:sz w:val="28"/>
          <w:szCs w:val="32"/>
          <w:lang w:eastAsia="zh-CN"/>
        </w:rPr>
      </w:pPr>
      <w:r>
        <w:rPr>
          <w:rFonts w:hint="eastAsia" w:ascii="微软雅黑" w:hAnsi="微软雅黑" w:eastAsia="微软雅黑" w:cs="宋体"/>
          <w:color w:val="333333"/>
          <w:spacing w:val="27"/>
          <w:sz w:val="28"/>
          <w:szCs w:val="32"/>
          <w:lang w:eastAsia="zh-CN"/>
        </w:rPr>
        <w:t>国家需要重点扶持的高新技术企业，减按15%的税率征收企业所得税。</w:t>
      </w:r>
    </w:p>
    <w:p>
      <w:pPr>
        <w:spacing w:line="240" w:lineRule="atLeast"/>
        <w:rPr>
          <w:rFonts w:ascii="微软雅黑" w:hAnsi="微软雅黑" w:eastAsia="微软雅黑" w:cs="宋体"/>
          <w:b/>
          <w:color w:val="333333"/>
          <w:spacing w:val="27"/>
          <w:sz w:val="28"/>
          <w:szCs w:val="32"/>
          <w:lang w:eastAsia="zh-CN"/>
        </w:rPr>
      </w:pPr>
      <w:r>
        <w:rPr>
          <w:rFonts w:hint="eastAsia" w:ascii="微软雅黑" w:hAnsi="微软雅黑" w:eastAsia="微软雅黑" w:cs="宋体"/>
          <w:b/>
          <w:color w:val="333333"/>
          <w:spacing w:val="27"/>
          <w:sz w:val="28"/>
          <w:szCs w:val="32"/>
          <w:lang w:eastAsia="zh-CN"/>
        </w:rPr>
        <w:t>（二）亏损结转年限由5年延长至10年</w:t>
      </w:r>
    </w:p>
    <w:p>
      <w:pPr>
        <w:spacing w:line="240" w:lineRule="atLeast"/>
        <w:rPr>
          <w:rFonts w:ascii="微软雅黑" w:hAnsi="微软雅黑" w:eastAsia="微软雅黑" w:cs="宋体"/>
          <w:color w:val="333333"/>
          <w:spacing w:val="27"/>
          <w:sz w:val="28"/>
          <w:szCs w:val="32"/>
          <w:lang w:eastAsia="zh-CN"/>
        </w:rPr>
      </w:pPr>
      <w:r>
        <w:rPr>
          <w:rFonts w:hint="eastAsia" w:ascii="微软雅黑" w:hAnsi="微软雅黑" w:eastAsia="微软雅黑" w:cs="宋体"/>
          <w:color w:val="333333"/>
          <w:spacing w:val="27"/>
          <w:sz w:val="28"/>
          <w:szCs w:val="32"/>
          <w:lang w:eastAsia="zh-CN"/>
        </w:rPr>
        <w:t>当年具备高新技术企业或科技型中小企业资格（以下统称资格）的企业，其具备资格年度之前5个年度发生的尚未弥补完的亏损，准予结转以后年度弥补，最长结转年限由5年延长至10年。</w:t>
      </w:r>
    </w:p>
    <w:p>
      <w:pPr>
        <w:spacing w:line="240" w:lineRule="atLeast"/>
        <w:rPr>
          <w:rFonts w:ascii="微软雅黑" w:hAnsi="微软雅黑" w:eastAsia="微软雅黑" w:cs="宋体"/>
          <w:b/>
          <w:color w:val="333333"/>
          <w:spacing w:val="27"/>
          <w:sz w:val="28"/>
          <w:szCs w:val="32"/>
          <w:lang w:eastAsia="zh-CN"/>
        </w:rPr>
      </w:pPr>
      <w:r>
        <w:rPr>
          <w:rFonts w:hint="eastAsia" w:ascii="微软雅黑" w:hAnsi="微软雅黑" w:eastAsia="微软雅黑" w:cs="宋体"/>
          <w:b/>
          <w:color w:val="333333"/>
          <w:spacing w:val="27"/>
          <w:sz w:val="28"/>
          <w:szCs w:val="32"/>
          <w:lang w:eastAsia="zh-CN"/>
        </w:rPr>
        <w:t>（三）个人所得税分期缴纳</w:t>
      </w:r>
    </w:p>
    <w:p>
      <w:pPr>
        <w:spacing w:line="240" w:lineRule="atLeast"/>
        <w:rPr>
          <w:rFonts w:ascii="微软雅黑" w:hAnsi="微软雅黑" w:eastAsia="微软雅黑" w:cs="宋体"/>
          <w:color w:val="333333"/>
          <w:spacing w:val="27"/>
          <w:sz w:val="28"/>
          <w:szCs w:val="32"/>
          <w:lang w:eastAsia="zh-CN"/>
        </w:rPr>
      </w:pPr>
      <w:r>
        <w:rPr>
          <w:rFonts w:ascii="微软雅黑" w:hAnsi="微软雅黑" w:eastAsia="微软雅黑" w:cs="宋体"/>
          <w:color w:val="333333"/>
          <w:spacing w:val="27"/>
          <w:sz w:val="28"/>
          <w:szCs w:val="32"/>
          <w:lang w:eastAsia="zh-CN"/>
        </w:rPr>
        <w:t>1.</w:t>
      </w:r>
      <w:r>
        <w:rPr>
          <w:rFonts w:hint="eastAsia" w:ascii="微软雅黑" w:hAnsi="微软雅黑" w:eastAsia="微软雅黑" w:cs="宋体"/>
          <w:color w:val="333333"/>
          <w:spacing w:val="27"/>
          <w:sz w:val="28"/>
          <w:szCs w:val="32"/>
          <w:lang w:eastAsia="zh-CN"/>
        </w:rPr>
        <w:t>中小高新技术企业以未分配利润、盈余公积、资本公积向个人股东转增股本时，个人股东一次缴纳个人所得税确有困难的，可在不超过5个公历年度内（含）分期缴纳。</w:t>
      </w:r>
    </w:p>
    <w:p>
      <w:pPr>
        <w:spacing w:line="240" w:lineRule="atLeast"/>
        <w:rPr>
          <w:rFonts w:ascii="微软雅黑" w:hAnsi="微软雅黑" w:eastAsia="微软雅黑" w:cs="宋体"/>
          <w:color w:val="333333"/>
          <w:spacing w:val="27"/>
          <w:sz w:val="28"/>
          <w:szCs w:val="32"/>
          <w:lang w:eastAsia="zh-CN"/>
        </w:rPr>
      </w:pPr>
      <w:r>
        <w:rPr>
          <w:rFonts w:ascii="微软雅黑" w:hAnsi="微软雅黑" w:eastAsia="微软雅黑" w:cs="宋体"/>
          <w:color w:val="333333"/>
          <w:spacing w:val="27"/>
          <w:sz w:val="28"/>
          <w:szCs w:val="32"/>
          <w:lang w:eastAsia="zh-CN"/>
        </w:rPr>
        <w:t>2.</w:t>
      </w:r>
      <w:r>
        <w:rPr>
          <w:rFonts w:hint="eastAsia" w:ascii="微软雅黑" w:hAnsi="微软雅黑" w:eastAsia="微软雅黑" w:cs="宋体"/>
          <w:color w:val="333333"/>
          <w:spacing w:val="27"/>
          <w:sz w:val="28"/>
          <w:szCs w:val="32"/>
          <w:lang w:eastAsia="zh-CN"/>
        </w:rPr>
        <w:t>高新技术企业转化科技成果，给予本企业相关技术人员的股权奖励，个人一次缴纳税款有困难的，可在不超过5个公历年度内（含）分期缴纳。</w:t>
      </w:r>
    </w:p>
    <w:p>
      <w:pPr>
        <w:spacing w:line="240" w:lineRule="atLeast"/>
        <w:rPr>
          <w:rFonts w:ascii="微软雅黑" w:hAnsi="微软雅黑" w:eastAsia="微软雅黑" w:cs="宋体"/>
          <w:b/>
          <w:color w:val="333333"/>
          <w:spacing w:val="27"/>
          <w:sz w:val="28"/>
          <w:szCs w:val="32"/>
          <w:lang w:eastAsia="zh-CN"/>
        </w:rPr>
      </w:pPr>
      <w:r>
        <w:rPr>
          <w:rFonts w:hint="eastAsia" w:ascii="微软雅黑" w:hAnsi="微软雅黑" w:eastAsia="微软雅黑" w:cs="宋体"/>
          <w:b/>
          <w:color w:val="333333"/>
          <w:spacing w:val="27"/>
          <w:sz w:val="28"/>
          <w:szCs w:val="32"/>
          <w:lang w:eastAsia="zh-CN"/>
        </w:rPr>
        <w:t>（四）奖励政策</w:t>
      </w:r>
    </w:p>
    <w:p>
      <w:pPr>
        <w:tabs>
          <w:tab w:val="left" w:pos="720"/>
        </w:tabs>
        <w:spacing w:line="240" w:lineRule="atLeast"/>
        <w:rPr>
          <w:rFonts w:ascii="微软雅黑" w:hAnsi="微软雅黑" w:eastAsia="微软雅黑" w:cs="宋体"/>
          <w:color w:val="333333"/>
          <w:spacing w:val="27"/>
          <w:sz w:val="28"/>
          <w:szCs w:val="32"/>
          <w:lang w:eastAsia="zh-CN"/>
        </w:rPr>
      </w:pPr>
      <w:r>
        <w:rPr>
          <w:rFonts w:ascii="微软雅黑" w:hAnsi="微软雅黑" w:eastAsia="微软雅黑" w:cs="宋体"/>
          <w:color w:val="333333"/>
          <w:spacing w:val="27"/>
          <w:sz w:val="28"/>
          <w:szCs w:val="32"/>
          <w:lang w:eastAsia="zh-CN"/>
        </w:rPr>
        <w:t>1.</w:t>
      </w:r>
      <w:r>
        <w:rPr>
          <w:rFonts w:hint="eastAsia" w:ascii="微软雅黑" w:hAnsi="微软雅黑" w:eastAsia="微软雅黑" w:cs="宋体"/>
          <w:color w:val="333333"/>
          <w:spacing w:val="27"/>
          <w:sz w:val="28"/>
          <w:szCs w:val="32"/>
          <w:lang w:eastAsia="zh-CN"/>
        </w:rPr>
        <w:t>对于首次认定、重新认定或外省市迁入的高新技术企业，按照市级奖励资金额度给予1:1配套。对于高新技术企业资质到期当年未重新认定，其后再次通过认定的，给予10万元奖励。</w:t>
      </w:r>
    </w:p>
    <w:p>
      <w:pPr>
        <w:adjustRightInd w:val="0"/>
        <w:snapToGrid w:val="0"/>
        <w:spacing w:line="520" w:lineRule="exact"/>
        <w:ind w:left="20"/>
        <w:rPr>
          <w:rFonts w:ascii="微软雅黑" w:hAnsi="微软雅黑" w:eastAsia="微软雅黑" w:cs="宋体"/>
          <w:color w:val="333333"/>
          <w:spacing w:val="27"/>
          <w:sz w:val="28"/>
          <w:szCs w:val="32"/>
          <w:lang w:eastAsia="zh-CN"/>
        </w:rPr>
      </w:pPr>
      <w:r>
        <w:rPr>
          <w:rFonts w:hint="eastAsia" w:ascii="微软雅黑" w:hAnsi="微软雅黑" w:eastAsia="微软雅黑" w:cs="宋体"/>
          <w:color w:val="333333"/>
          <w:spacing w:val="27"/>
          <w:sz w:val="28"/>
          <w:szCs w:val="32"/>
          <w:lang w:eastAsia="zh-CN"/>
        </w:rPr>
        <w:t>2.申请认定高新技术企业的各类科技企业，可申领“高新技术企业服务券”，用于向服务机构购买高新技术企业申报服务（不含专项审计），参见“</w:t>
      </w:r>
      <w:r>
        <w:fldChar w:fldCharType="begin"/>
      </w:r>
      <w:r>
        <w:instrText xml:space="preserve"> HYPERLINK \l "高企券用途及备案和兑现须知" </w:instrText>
      </w:r>
      <w:r>
        <w:fldChar w:fldCharType="separate"/>
      </w:r>
      <w:r>
        <w:rPr>
          <w:rStyle w:val="16"/>
          <w:rFonts w:hint="eastAsia" w:ascii="微软雅黑" w:hAnsi="微软雅黑" w:eastAsia="微软雅黑" w:cs="宋体"/>
          <w:spacing w:val="27"/>
          <w:sz w:val="28"/>
          <w:szCs w:val="32"/>
          <w:lang w:eastAsia="zh-CN"/>
        </w:rPr>
        <w:t>2024</w:t>
      </w:r>
      <w:r>
        <w:rPr>
          <w:rStyle w:val="16"/>
          <w:rFonts w:ascii="微软雅黑" w:hAnsi="微软雅黑" w:eastAsia="微软雅黑" w:cs="宋体"/>
          <w:spacing w:val="27"/>
          <w:sz w:val="28"/>
          <w:szCs w:val="32"/>
          <w:lang w:eastAsia="zh-CN"/>
        </w:rPr>
        <w:t>年</w:t>
      </w:r>
      <w:r>
        <w:rPr>
          <w:rStyle w:val="16"/>
          <w:rFonts w:hint="eastAsia" w:ascii="微软雅黑" w:hAnsi="微软雅黑" w:eastAsia="微软雅黑" w:cs="宋体"/>
          <w:spacing w:val="27"/>
          <w:sz w:val="28"/>
          <w:szCs w:val="32"/>
          <w:lang w:eastAsia="zh-CN"/>
        </w:rPr>
        <w:t>高企券用途及备案和兑现须知</w:t>
      </w:r>
      <w:r>
        <w:rPr>
          <w:rStyle w:val="16"/>
          <w:rFonts w:hint="eastAsia" w:ascii="微软雅黑" w:hAnsi="微软雅黑" w:eastAsia="微软雅黑" w:cs="宋体"/>
          <w:spacing w:val="27"/>
          <w:sz w:val="28"/>
          <w:szCs w:val="32"/>
          <w:lang w:eastAsia="zh-CN"/>
        </w:rPr>
        <w:fldChar w:fldCharType="end"/>
      </w:r>
      <w:r>
        <w:rPr>
          <w:rFonts w:hint="eastAsia" w:ascii="微软雅黑" w:hAnsi="微软雅黑" w:eastAsia="微软雅黑" w:cs="宋体"/>
          <w:color w:val="333333"/>
          <w:spacing w:val="27"/>
          <w:sz w:val="28"/>
          <w:szCs w:val="32"/>
          <w:lang w:eastAsia="zh-CN"/>
        </w:rPr>
        <w:t>”。</w:t>
      </w:r>
    </w:p>
    <w:p>
      <w:pPr>
        <w:adjustRightInd w:val="0"/>
        <w:snapToGrid w:val="0"/>
        <w:spacing w:line="520" w:lineRule="exact"/>
        <w:ind w:left="20"/>
        <w:rPr>
          <w:rFonts w:ascii="微软雅黑" w:hAnsi="微软雅黑" w:eastAsia="微软雅黑" w:cs="宋体"/>
          <w:color w:val="333333"/>
          <w:spacing w:val="27"/>
          <w:sz w:val="28"/>
          <w:szCs w:val="32"/>
          <w:lang w:eastAsia="zh-CN"/>
        </w:rPr>
      </w:pPr>
      <w:r>
        <w:rPr>
          <w:rFonts w:hint="eastAsia" w:ascii="微软雅黑" w:hAnsi="微软雅黑" w:eastAsia="微软雅黑" w:cs="宋体"/>
          <w:color w:val="333333"/>
          <w:spacing w:val="27"/>
          <w:sz w:val="28"/>
          <w:szCs w:val="32"/>
          <w:lang w:eastAsia="zh-CN"/>
        </w:rPr>
        <w:t>3</w:t>
      </w:r>
      <w:r>
        <w:rPr>
          <w:rFonts w:ascii="微软雅黑" w:hAnsi="微软雅黑" w:eastAsia="微软雅黑" w:cs="宋体"/>
          <w:color w:val="333333"/>
          <w:spacing w:val="27"/>
          <w:sz w:val="28"/>
          <w:szCs w:val="32"/>
          <w:lang w:eastAsia="zh-CN"/>
        </w:rPr>
        <w:t>.</w:t>
      </w:r>
      <w:r>
        <w:rPr>
          <w:rFonts w:hint="eastAsia" w:ascii="微软雅黑" w:hAnsi="微软雅黑" w:eastAsia="微软雅黑" w:cs="宋体"/>
          <w:color w:val="333333"/>
          <w:spacing w:val="27"/>
          <w:sz w:val="28"/>
          <w:szCs w:val="32"/>
          <w:lang w:eastAsia="zh-CN"/>
        </w:rPr>
        <w:t xml:space="preserve"> 首次通过认定的高新技术企业，按照企业认定当年研发费用（依据企业享受税前加计扣除的研发费用数额）的5%给予补助。</w:t>
      </w:r>
    </w:p>
    <w:p>
      <w:pPr>
        <w:spacing w:line="240" w:lineRule="atLeast"/>
        <w:rPr>
          <w:rFonts w:ascii="微软雅黑" w:hAnsi="微软雅黑" w:eastAsia="微软雅黑" w:cs="宋体"/>
          <w:b/>
          <w:color w:val="333333"/>
          <w:spacing w:val="27"/>
          <w:sz w:val="28"/>
          <w:szCs w:val="32"/>
          <w:lang w:eastAsia="zh-CN"/>
        </w:rPr>
      </w:pPr>
      <w:r>
        <w:rPr>
          <w:rFonts w:hint="eastAsia" w:ascii="微软雅黑" w:hAnsi="微软雅黑" w:eastAsia="微软雅黑" w:cs="宋体"/>
          <w:b/>
          <w:color w:val="333333"/>
          <w:spacing w:val="27"/>
          <w:sz w:val="28"/>
          <w:szCs w:val="32"/>
          <w:lang w:eastAsia="zh-CN"/>
        </w:rPr>
        <w:t>（五）员工房租优惠政策</w:t>
      </w:r>
    </w:p>
    <w:p>
      <w:pPr>
        <w:spacing w:line="240" w:lineRule="atLeast"/>
        <w:rPr>
          <w:rFonts w:ascii="微软雅黑" w:hAnsi="微软雅黑" w:eastAsia="微软雅黑" w:cs="宋体"/>
          <w:color w:val="333333"/>
          <w:spacing w:val="27"/>
          <w:sz w:val="28"/>
          <w:szCs w:val="32"/>
          <w:lang w:eastAsia="zh-CN"/>
        </w:rPr>
      </w:pPr>
      <w:r>
        <w:rPr>
          <w:rFonts w:hint="eastAsia" w:ascii="微软雅黑" w:hAnsi="微软雅黑" w:eastAsia="微软雅黑" w:cs="宋体"/>
          <w:color w:val="333333"/>
          <w:spacing w:val="27"/>
          <w:sz w:val="28"/>
          <w:szCs w:val="32"/>
          <w:lang w:eastAsia="zh-CN"/>
        </w:rPr>
        <w:t>认定为高新技术企业，员工入住福瑞家园享受租金九折优惠。</w:t>
      </w:r>
    </w:p>
    <w:p>
      <w:pPr>
        <w:tabs>
          <w:tab w:val="left" w:pos="-180"/>
        </w:tabs>
        <w:spacing w:line="240" w:lineRule="atLeast"/>
        <w:rPr>
          <w:rStyle w:val="14"/>
          <w:rFonts w:ascii="微软雅黑" w:hAnsi="微软雅黑" w:eastAsia="微软雅黑"/>
          <w:bCs w:val="0"/>
          <w:color w:val="215ACF"/>
          <w:spacing w:val="27"/>
          <w:sz w:val="28"/>
          <w:lang w:eastAsia="zh-CN"/>
        </w:rPr>
      </w:pPr>
      <w:r>
        <w:rPr>
          <w:rStyle w:val="14"/>
          <w:rFonts w:hint="eastAsia" w:ascii="微软雅黑" w:hAnsi="微软雅黑" w:eastAsia="微软雅黑"/>
          <w:color w:val="215ACF"/>
          <w:spacing w:val="27"/>
          <w:sz w:val="28"/>
          <w:szCs w:val="32"/>
          <w:lang w:eastAsia="zh-CN"/>
        </w:rPr>
        <w:t>二、</w:t>
      </w:r>
      <w:r>
        <w:rPr>
          <w:rStyle w:val="14"/>
          <w:rFonts w:hint="eastAsia" w:ascii="微软雅黑" w:hAnsi="微软雅黑" w:eastAsia="微软雅黑"/>
          <w:bCs w:val="0"/>
          <w:color w:val="215ACF"/>
          <w:spacing w:val="27"/>
          <w:sz w:val="28"/>
          <w:lang w:eastAsia="zh-CN"/>
        </w:rPr>
        <w:t>认定为高新技术企业须同时满足以下条件（</w:t>
      </w:r>
      <w:r>
        <w:fldChar w:fldCharType="begin"/>
      </w:r>
      <w:r>
        <w:instrText xml:space="preserve"> HYPERLINK \l "高企认定管理办法和工作指引" </w:instrText>
      </w:r>
      <w:r>
        <w:fldChar w:fldCharType="separate"/>
      </w:r>
      <w:r>
        <w:rPr>
          <w:rStyle w:val="16"/>
          <w:rFonts w:hint="eastAsia" w:ascii="微软雅黑" w:hAnsi="微软雅黑" w:eastAsia="微软雅黑"/>
          <w:spacing w:val="27"/>
          <w:sz w:val="28"/>
          <w:lang w:eastAsia="zh-CN"/>
        </w:rPr>
        <w:t>高企认定管理办法</w:t>
      </w:r>
      <w:r>
        <w:rPr>
          <w:rStyle w:val="16"/>
          <w:rFonts w:hint="eastAsia" w:ascii="微软雅黑" w:hAnsi="微软雅黑" w:eastAsia="微软雅黑"/>
          <w:spacing w:val="27"/>
          <w:sz w:val="28"/>
          <w:lang w:eastAsia="zh-CN"/>
        </w:rPr>
        <w:fldChar w:fldCharType="end"/>
      </w:r>
      <w:r>
        <w:rPr>
          <w:rStyle w:val="14"/>
          <w:rFonts w:hint="eastAsia" w:ascii="微软雅黑" w:hAnsi="微软雅黑" w:eastAsia="微软雅黑"/>
          <w:bCs w:val="0"/>
          <w:color w:val="215ACF"/>
          <w:spacing w:val="27"/>
          <w:sz w:val="28"/>
          <w:lang w:eastAsia="zh-CN"/>
        </w:rPr>
        <w:t>）：</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（一）企业申请认定时须注册成立</w:t>
      </w:r>
      <w:r>
        <w:rPr>
          <w:rFonts w:hint="eastAsia" w:ascii="微软雅黑" w:hAnsi="微软雅黑" w:eastAsia="微软雅黑" w:cs="宋体"/>
          <w:b/>
          <w:bCs/>
          <w:sz w:val="28"/>
          <w:szCs w:val="28"/>
          <w:lang w:eastAsia="zh-CN"/>
        </w:rPr>
        <w:t>一年</w:t>
      </w:r>
      <w:r>
        <w:rPr>
          <w:rFonts w:hint="eastAsia" w:ascii="微软雅黑" w:hAnsi="微软雅黑" w:eastAsia="微软雅黑" w:cs="宋体"/>
          <w:sz w:val="28"/>
          <w:szCs w:val="28"/>
          <w:lang w:eastAsia="zh-CN"/>
        </w:rPr>
        <w:t>以上；</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（二）企业通过自主研发、受让、受赠、并购等方式，获得对其主要产品（服务）在技术上发挥核心支持作用的</w:t>
      </w:r>
      <w:r>
        <w:rPr>
          <w:rFonts w:hint="eastAsia" w:ascii="微软雅黑" w:hAnsi="微软雅黑" w:eastAsia="微软雅黑" w:cs="宋体"/>
          <w:b/>
          <w:bCs/>
          <w:sz w:val="28"/>
          <w:szCs w:val="28"/>
          <w:lang w:eastAsia="zh-CN"/>
        </w:rPr>
        <w:t>知识产权</w:t>
      </w:r>
      <w:r>
        <w:rPr>
          <w:rFonts w:hint="eastAsia" w:ascii="微软雅黑" w:hAnsi="微软雅黑" w:eastAsia="微软雅黑" w:cs="宋体"/>
          <w:sz w:val="28"/>
          <w:szCs w:val="28"/>
          <w:lang w:eastAsia="zh-CN"/>
        </w:rPr>
        <w:t>的所有权；</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（三）对企业主要产品（服务）发挥核心支持作用的技术属于</w:t>
      </w:r>
      <w:r>
        <w:rPr>
          <w:rFonts w:hint="eastAsia" w:ascii="微软雅黑" w:hAnsi="微软雅黑" w:eastAsia="微软雅黑" w:cs="宋体"/>
          <w:b/>
          <w:bCs/>
          <w:sz w:val="28"/>
          <w:szCs w:val="28"/>
          <w:lang w:eastAsia="zh-CN"/>
        </w:rPr>
        <w:t>《国家重点支持的高新技术领域》</w:t>
      </w:r>
      <w:r>
        <w:rPr>
          <w:rFonts w:hint="eastAsia" w:ascii="微软雅黑" w:hAnsi="微软雅黑" w:eastAsia="微软雅黑" w:cs="宋体"/>
          <w:sz w:val="28"/>
          <w:szCs w:val="28"/>
          <w:lang w:eastAsia="zh-CN"/>
        </w:rPr>
        <w:t>规定的范围；</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（四）企业从事研发和相关技术创新活动的</w:t>
      </w:r>
      <w:r>
        <w:rPr>
          <w:rFonts w:hint="eastAsia" w:ascii="微软雅黑" w:hAnsi="微软雅黑" w:eastAsia="微软雅黑" w:cs="宋体"/>
          <w:b/>
          <w:bCs/>
          <w:sz w:val="28"/>
          <w:szCs w:val="28"/>
          <w:lang w:eastAsia="zh-CN"/>
        </w:rPr>
        <w:t>科技人员</w:t>
      </w:r>
      <w:r>
        <w:rPr>
          <w:rFonts w:hint="eastAsia" w:ascii="微软雅黑" w:hAnsi="微软雅黑" w:eastAsia="微软雅黑" w:cs="宋体"/>
          <w:sz w:val="28"/>
          <w:szCs w:val="28"/>
          <w:lang w:eastAsia="zh-CN"/>
        </w:rPr>
        <w:t>占企业当年职工总数的比例不低于</w:t>
      </w:r>
      <w:r>
        <w:rPr>
          <w:rFonts w:hint="eastAsia" w:ascii="微软雅黑" w:hAnsi="微软雅黑" w:eastAsia="微软雅黑" w:cs="宋体"/>
          <w:b/>
          <w:bCs/>
          <w:sz w:val="28"/>
          <w:szCs w:val="28"/>
          <w:lang w:eastAsia="zh-CN"/>
        </w:rPr>
        <w:t>10%</w:t>
      </w:r>
      <w:r>
        <w:rPr>
          <w:rFonts w:hint="eastAsia" w:ascii="微软雅黑" w:hAnsi="微软雅黑" w:eastAsia="微软雅黑" w:cs="宋体"/>
          <w:sz w:val="28"/>
          <w:szCs w:val="28"/>
          <w:lang w:eastAsia="zh-CN"/>
        </w:rPr>
        <w:t>（截止到上年末，累计实际工作时间在183天以上）；</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（五）企业近三个会计年度（实际经营期不满三年的按实际经营时间计算，下同）的</w:t>
      </w:r>
      <w:r>
        <w:rPr>
          <w:rFonts w:hint="eastAsia" w:ascii="微软雅黑" w:hAnsi="微软雅黑" w:eastAsia="微软雅黑" w:cs="宋体"/>
          <w:b/>
          <w:bCs/>
          <w:sz w:val="28"/>
          <w:szCs w:val="28"/>
          <w:lang w:eastAsia="zh-CN"/>
        </w:rPr>
        <w:t>研究开发费用总额占同期销售收入总额的比例</w:t>
      </w:r>
      <w:r>
        <w:rPr>
          <w:rFonts w:hint="eastAsia" w:ascii="微软雅黑" w:hAnsi="微软雅黑" w:eastAsia="微软雅黑" w:cs="宋体"/>
          <w:sz w:val="28"/>
          <w:szCs w:val="28"/>
          <w:lang w:eastAsia="zh-CN"/>
        </w:rPr>
        <w:t>符合如下要求：</w:t>
      </w:r>
    </w:p>
    <w:p>
      <w:pPr>
        <w:spacing w:line="580" w:lineRule="exact"/>
        <w:ind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1. 最近一年销售收入小于5,000万元（含）的企业，比例不低于</w:t>
      </w:r>
      <w:r>
        <w:rPr>
          <w:rFonts w:hint="eastAsia" w:ascii="微软雅黑" w:hAnsi="微软雅黑" w:eastAsia="微软雅黑" w:cs="宋体"/>
          <w:b/>
          <w:bCs/>
          <w:sz w:val="28"/>
          <w:szCs w:val="28"/>
          <w:lang w:eastAsia="zh-CN"/>
        </w:rPr>
        <w:t>5%</w:t>
      </w:r>
      <w:r>
        <w:rPr>
          <w:rFonts w:hint="eastAsia" w:ascii="微软雅黑" w:hAnsi="微软雅黑" w:eastAsia="微软雅黑" w:cs="宋体"/>
          <w:sz w:val="28"/>
          <w:szCs w:val="28"/>
          <w:lang w:eastAsia="zh-CN"/>
        </w:rPr>
        <w:t>；</w:t>
      </w:r>
    </w:p>
    <w:p>
      <w:pPr>
        <w:spacing w:line="580" w:lineRule="exact"/>
        <w:ind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2. 最近一年销售收入在5,000万元至2亿元（含）的企业，比例不低于4%；</w:t>
      </w:r>
    </w:p>
    <w:p>
      <w:pPr>
        <w:spacing w:line="580" w:lineRule="exact"/>
        <w:ind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3. 最近一年销售收入在2亿元以上的企业，比例不低于3%。</w:t>
      </w:r>
    </w:p>
    <w:p>
      <w:pPr>
        <w:spacing w:line="580" w:lineRule="exact"/>
        <w:ind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 xml:space="preserve">其中，企业在中国境内发生的研究开发费用总额占全部研究开发费用总额的比例不低于60%； </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（六）近一年</w:t>
      </w:r>
      <w:r>
        <w:rPr>
          <w:rFonts w:hint="eastAsia" w:ascii="微软雅黑" w:hAnsi="微软雅黑" w:eastAsia="微软雅黑" w:cs="宋体"/>
          <w:b/>
          <w:bCs/>
          <w:sz w:val="28"/>
          <w:szCs w:val="28"/>
          <w:lang w:eastAsia="zh-CN"/>
        </w:rPr>
        <w:t>高新技术产品（服务）收入</w:t>
      </w:r>
      <w:r>
        <w:rPr>
          <w:rFonts w:hint="eastAsia" w:ascii="微软雅黑" w:hAnsi="微软雅黑" w:eastAsia="微软雅黑" w:cs="宋体"/>
          <w:sz w:val="28"/>
          <w:szCs w:val="28"/>
          <w:lang w:eastAsia="zh-CN"/>
        </w:rPr>
        <w:t>占企业同期总收入的比例不低于</w:t>
      </w:r>
      <w:r>
        <w:rPr>
          <w:rFonts w:hint="eastAsia" w:ascii="微软雅黑" w:hAnsi="微软雅黑" w:eastAsia="微软雅黑" w:cs="宋体"/>
          <w:b/>
          <w:bCs/>
          <w:sz w:val="28"/>
          <w:szCs w:val="28"/>
          <w:lang w:eastAsia="zh-CN"/>
        </w:rPr>
        <w:t>60%</w:t>
      </w:r>
      <w:r>
        <w:rPr>
          <w:rFonts w:hint="eastAsia" w:ascii="微软雅黑" w:hAnsi="微软雅黑" w:eastAsia="微软雅黑" w:cs="宋体"/>
          <w:sz w:val="28"/>
          <w:szCs w:val="28"/>
          <w:lang w:eastAsia="zh-CN"/>
        </w:rPr>
        <w:t>；</w:t>
      </w:r>
    </w:p>
    <w:p>
      <w:pPr>
        <w:spacing w:line="580" w:lineRule="exact"/>
        <w:ind w:left="-81" w:leftChars="-37" w:firstLine="560" w:firstLineChars="200"/>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（七）企业</w:t>
      </w:r>
      <w:r>
        <w:rPr>
          <w:rFonts w:hint="eastAsia" w:ascii="微软雅黑" w:hAnsi="微软雅黑" w:eastAsia="微软雅黑" w:cs="宋体"/>
          <w:b/>
          <w:bCs/>
          <w:sz w:val="28"/>
          <w:szCs w:val="28"/>
          <w:lang w:eastAsia="zh-CN"/>
        </w:rPr>
        <w:t>创新能力评价</w:t>
      </w:r>
      <w:r>
        <w:rPr>
          <w:rFonts w:hint="eastAsia" w:ascii="微软雅黑" w:hAnsi="微软雅黑" w:eastAsia="微软雅黑" w:cs="宋体"/>
          <w:sz w:val="28"/>
          <w:szCs w:val="28"/>
          <w:lang w:eastAsia="zh-CN"/>
        </w:rPr>
        <w:t>应达到相应要求（知识产权、研究开发组织管理水平、科技成果转化能力、销售与净资产成长性等指标符合《高新技术企业认定管理工作指引》的要求，专家综合评分在</w:t>
      </w:r>
      <w:r>
        <w:rPr>
          <w:rFonts w:hint="eastAsia" w:ascii="微软雅黑" w:hAnsi="微软雅黑" w:eastAsia="微软雅黑" w:cs="宋体"/>
          <w:b/>
          <w:bCs/>
          <w:sz w:val="28"/>
          <w:szCs w:val="28"/>
          <w:lang w:eastAsia="zh-CN"/>
        </w:rPr>
        <w:t>71分</w:t>
      </w:r>
      <w:r>
        <w:rPr>
          <w:rFonts w:hint="eastAsia" w:ascii="微软雅黑" w:hAnsi="微软雅黑" w:eastAsia="微软雅黑" w:cs="宋体"/>
          <w:sz w:val="28"/>
          <w:szCs w:val="28"/>
          <w:lang w:eastAsia="zh-CN"/>
        </w:rPr>
        <w:t>以上）；</w:t>
      </w:r>
    </w:p>
    <w:p>
      <w:pPr>
        <w:spacing w:line="580" w:lineRule="exact"/>
        <w:ind w:left="-81" w:leftChars="-37" w:firstLine="560" w:firstLineChars="200"/>
        <w:rPr>
          <w:rFonts w:ascii="微软雅黑" w:hAnsi="微软雅黑" w:eastAsia="微软雅黑"/>
          <w:color w:val="333333"/>
          <w:spacing w:val="27"/>
          <w:sz w:val="28"/>
          <w:szCs w:val="32"/>
          <w:lang w:eastAsia="zh-CN"/>
        </w:rPr>
      </w:pPr>
      <w:r>
        <w:rPr>
          <w:rFonts w:hint="eastAsia" w:ascii="微软雅黑" w:hAnsi="微软雅黑" w:eastAsia="微软雅黑"/>
          <w:sz w:val="28"/>
          <w:szCs w:val="28"/>
          <w:lang w:eastAsia="zh-CN"/>
        </w:rPr>
        <w:t>（八）</w:t>
      </w:r>
      <w:r>
        <w:rPr>
          <w:rFonts w:hint="eastAsia" w:ascii="微软雅黑" w:hAnsi="微软雅黑" w:eastAsia="微软雅黑" w:cs="宋体"/>
          <w:sz w:val="28"/>
          <w:szCs w:val="28"/>
          <w:lang w:eastAsia="zh-CN"/>
        </w:rPr>
        <w:t>企业申请认定前一年内未发生重大安全</w:t>
      </w:r>
      <w:r>
        <w:rPr>
          <w:rFonts w:hint="eastAsia" w:ascii="微软雅黑" w:hAnsi="微软雅黑" w:eastAsia="微软雅黑"/>
          <w:sz w:val="28"/>
          <w:szCs w:val="28"/>
          <w:lang w:eastAsia="zh-CN"/>
        </w:rPr>
        <w:t>、重大质量事故或严重环境违法行为。</w:t>
      </w:r>
    </w:p>
    <w:p>
      <w:pPr>
        <w:pStyle w:val="8"/>
        <w:spacing w:before="0" w:beforeAutospacing="0" w:after="0" w:afterAutospacing="0"/>
        <w:ind w:left="440" w:leftChars="200"/>
        <w:jc w:val="both"/>
        <w:rPr>
          <w:rFonts w:ascii="微软雅黑" w:hAnsi="微软雅黑" w:eastAsia="微软雅黑"/>
          <w:color w:val="333333"/>
          <w:spacing w:val="27"/>
          <w:sz w:val="28"/>
          <w:szCs w:val="32"/>
        </w:rPr>
      </w:pPr>
    </w:p>
    <w:p>
      <w:pPr>
        <w:pStyle w:val="8"/>
        <w:spacing w:before="0" w:beforeAutospacing="0" w:after="0" w:afterAutospacing="0"/>
        <w:ind w:left="440" w:leftChars="200"/>
        <w:jc w:val="both"/>
        <w:rPr>
          <w:rFonts w:ascii="微软雅黑" w:hAnsi="微软雅黑" w:eastAsia="微软雅黑"/>
          <w:color w:val="333333"/>
          <w:spacing w:val="27"/>
          <w:sz w:val="28"/>
          <w:szCs w:val="32"/>
        </w:rPr>
        <w:sectPr>
          <w:headerReference r:id="rId3" w:type="default"/>
          <w:footerReference r:id="rId4" w:type="default"/>
          <w:pgSz w:w="11910" w:h="16840"/>
          <w:pgMar w:top="1418" w:right="1077" w:bottom="1021" w:left="1077" w:header="720" w:footer="720" w:gutter="0"/>
          <w:pgNumType w:fmt="numberInDash"/>
          <w:cols w:space="720" w:num="1"/>
        </w:sectPr>
      </w:pPr>
    </w:p>
    <w:p>
      <w:pPr>
        <w:pStyle w:val="8"/>
        <w:rPr>
          <w:rFonts w:ascii="黑体" w:hAnsi="黑体" w:eastAsia="黑体" w:cs="Times New Roman"/>
          <w:b/>
          <w:bCs/>
          <w:spacing w:val="27"/>
          <w:sz w:val="44"/>
          <w:szCs w:val="44"/>
        </w:rPr>
      </w:pPr>
      <w:r>
        <w:rPr>
          <w:rFonts w:hint="eastAsia" w:ascii="黑体" w:hAnsi="黑体" w:eastAsia="黑体" w:cs="Times New Roman"/>
          <w:b/>
          <w:bCs/>
          <w:spacing w:val="27"/>
          <w:sz w:val="44"/>
          <w:szCs w:val="44"/>
        </w:rPr>
        <w:t>备注：</w:t>
      </w:r>
    </w:p>
    <w:p>
      <w:pPr>
        <w:pStyle w:val="8"/>
        <w:rPr>
          <w:rFonts w:ascii="微软雅黑" w:hAnsi="微软雅黑" w:eastAsia="微软雅黑" w:cs="Times New Roman"/>
          <w:b/>
          <w:bCs/>
          <w:color w:val="215ACF"/>
          <w:spacing w:val="27"/>
          <w:sz w:val="28"/>
          <w:szCs w:val="32"/>
        </w:rPr>
      </w:pPr>
      <w:r>
        <w:rPr>
          <w:rFonts w:ascii="微软雅黑" w:hAnsi="微软雅黑" w:eastAsia="微软雅黑" w:cs="Times New Roman"/>
          <w:b/>
          <w:bCs/>
          <w:color w:val="215ACF"/>
          <w:spacing w:val="27"/>
          <w:sz w:val="28"/>
          <w:szCs w:val="32"/>
        </w:rPr>
        <w:drawing>
          <wp:inline distT="0" distB="0" distL="0" distR="0">
            <wp:extent cx="6195060" cy="3883025"/>
            <wp:effectExtent l="0" t="0" r="0" b="3175"/>
            <wp:docPr id="122009813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0098139" name="图片 1"/>
                    <pic:cNvPicPr>
                      <a:picLocks noChangeAspect="true"/>
                    </pic:cNvPicPr>
                  </pic:nvPicPr>
                  <pic:blipFill>
                    <a:blip r:embed="rId7"/>
                    <a:stretch>
                      <a:fillRect/>
                    </a:stretch>
                  </pic:blipFill>
                  <pic:spPr>
                    <a:xfrm>
                      <a:off x="0" y="0"/>
                      <a:ext cx="6195060" cy="3883025"/>
                    </a:xfrm>
                    <a:prstGeom prst="rect">
                      <a:avLst/>
                    </a:prstGeom>
                  </pic:spPr>
                </pic:pic>
              </a:graphicData>
            </a:graphic>
          </wp:inline>
        </w:drawing>
      </w:r>
    </w:p>
    <w:p>
      <w:pPr>
        <w:pStyle w:val="8"/>
        <w:rPr>
          <w:rFonts w:ascii="微软雅黑" w:hAnsi="微软雅黑" w:eastAsia="微软雅黑" w:cs="Times New Roman"/>
          <w:b/>
          <w:bCs/>
          <w:color w:val="215ACF"/>
          <w:spacing w:val="27"/>
        </w:rPr>
      </w:pPr>
    </w:p>
    <w:p>
      <w:pPr>
        <w:pStyle w:val="8"/>
        <w:rPr>
          <w:rFonts w:ascii="微软雅黑" w:hAnsi="微软雅黑" w:eastAsia="微软雅黑" w:cs="Times New Roman"/>
          <w:b/>
          <w:bCs/>
          <w:color w:val="215ACF"/>
          <w:spacing w:val="27"/>
        </w:rPr>
      </w:pPr>
      <w:r>
        <w:rPr>
          <w:rFonts w:hint="eastAsia" w:ascii="微软雅黑" w:hAnsi="微软雅黑" w:eastAsia="微软雅黑" w:cs="Times New Roman"/>
          <w:b/>
          <w:bCs/>
          <w:color w:val="215ACF"/>
          <w:spacing w:val="27"/>
        </w:rPr>
        <w:t>科技人员：</w:t>
      </w:r>
      <w:r>
        <w:rPr>
          <w:rFonts w:hint="eastAsia" w:ascii="微软雅黑" w:hAnsi="微软雅黑" w:eastAsia="微软雅黑" w:cs="Times New Roman"/>
          <w:spacing w:val="27"/>
        </w:rPr>
        <w:t>直接从事研发和相关技术创新活动，以及专门从事上述活动的管理和提供直接技术服务的，累计实际工作时间在183天以上的人员，包括在职、兼职和临时聘用人员。</w:t>
      </w:r>
    </w:p>
    <w:p>
      <w:pPr>
        <w:topLinePunct/>
        <w:spacing w:before="100" w:beforeAutospacing="1"/>
        <w:rPr>
          <w:rFonts w:ascii="微软雅黑" w:hAnsi="微软雅黑" w:eastAsia="微软雅黑" w:cs="Times New Roman"/>
          <w:spacing w:val="27"/>
          <w:sz w:val="24"/>
          <w:szCs w:val="24"/>
          <w:lang w:eastAsia="zh-CN"/>
        </w:rPr>
      </w:pPr>
      <w:r>
        <w:rPr>
          <w:rFonts w:hint="eastAsia" w:ascii="微软雅黑" w:hAnsi="微软雅黑" w:eastAsia="微软雅黑" w:cs="Times New Roman"/>
          <w:b/>
          <w:bCs/>
          <w:color w:val="215ACF"/>
          <w:spacing w:val="27"/>
          <w:sz w:val="24"/>
          <w:szCs w:val="24"/>
          <w:lang w:eastAsia="zh-CN"/>
        </w:rPr>
        <w:t>科技成果：</w:t>
      </w:r>
      <w:r>
        <w:rPr>
          <w:rFonts w:hint="eastAsia" w:ascii="微软雅黑" w:hAnsi="微软雅黑" w:eastAsia="微软雅黑" w:cs="Times New Roman"/>
          <w:spacing w:val="27"/>
          <w:sz w:val="24"/>
          <w:szCs w:val="24"/>
          <w:lang w:eastAsia="zh-CN"/>
        </w:rPr>
        <w:t>依照《促进科技成果转化法》，科技成果是指通过科学研究与技术开发所产生的具有实用价值的成果（专利、版权、集成电路布图设计等）。</w:t>
      </w:r>
    </w:p>
    <w:p>
      <w:pPr>
        <w:topLinePunct/>
        <w:spacing w:before="100" w:beforeAutospacing="1"/>
        <w:rPr>
          <w:sz w:val="24"/>
          <w:szCs w:val="24"/>
          <w:lang w:eastAsia="zh-CN"/>
        </w:rPr>
      </w:pPr>
      <w:r>
        <w:rPr>
          <w:rFonts w:hint="eastAsia" w:ascii="微软雅黑" w:hAnsi="微软雅黑" w:eastAsia="微软雅黑" w:cs="Times New Roman"/>
          <w:b/>
          <w:bCs/>
          <w:color w:val="215ACF"/>
          <w:spacing w:val="27"/>
          <w:sz w:val="24"/>
          <w:szCs w:val="24"/>
          <w:lang w:eastAsia="zh-CN"/>
        </w:rPr>
        <w:t>科技成果转化：</w:t>
      </w:r>
      <w:r>
        <w:rPr>
          <w:rFonts w:hint="eastAsia" w:ascii="微软雅黑" w:hAnsi="微软雅黑" w:eastAsia="微软雅黑" w:cs="Times New Roman"/>
          <w:spacing w:val="27"/>
          <w:sz w:val="24"/>
          <w:szCs w:val="24"/>
          <w:lang w:eastAsia="zh-CN"/>
        </w:rPr>
        <w:t>为提高生产力水平而对科技成果进行的后续试验、开发、应用、推广直至形成新产品、新工艺、新材料，发展新产业等活动。</w:t>
      </w:r>
    </w:p>
    <w:p>
      <w:pPr>
        <w:topLinePunct/>
        <w:spacing w:before="100" w:beforeAutospacing="1"/>
        <w:rPr>
          <w:rFonts w:ascii="微软雅黑" w:hAnsi="微软雅黑" w:eastAsia="微软雅黑" w:cs="Times New Roman"/>
          <w:spacing w:val="27"/>
          <w:sz w:val="24"/>
          <w:szCs w:val="24"/>
          <w:lang w:eastAsia="zh-CN"/>
        </w:rPr>
      </w:pPr>
      <w:r>
        <w:rPr>
          <w:rFonts w:hint="eastAsia" w:ascii="微软雅黑" w:hAnsi="微软雅黑" w:eastAsia="微软雅黑" w:cs="Times New Roman"/>
          <w:b/>
          <w:bCs/>
          <w:color w:val="215ACF"/>
          <w:spacing w:val="27"/>
          <w:sz w:val="24"/>
          <w:szCs w:val="24"/>
          <w:lang w:eastAsia="zh-CN"/>
        </w:rPr>
        <w:t>科技成果转化形式：</w:t>
      </w:r>
      <w:r>
        <w:rPr>
          <w:rFonts w:hint="eastAsia" w:ascii="微软雅黑" w:hAnsi="微软雅黑" w:eastAsia="微软雅黑" w:cs="Times New Roman"/>
          <w:spacing w:val="27"/>
          <w:sz w:val="24"/>
          <w:szCs w:val="24"/>
          <w:lang w:eastAsia="zh-CN"/>
        </w:rPr>
        <w:t>自行投资实施转化；向他人转让该技术成果；许可他人使用该科技成果；以该科技成果作为合作条件，与他人共同实施转化；以该科技成果作价投资、折算股份或者出资比例；以及其他协商确定的方式。</w:t>
      </w:r>
    </w:p>
    <w:p>
      <w:pPr>
        <w:pStyle w:val="8"/>
        <w:jc w:val="both"/>
        <w:rPr>
          <w:rFonts w:ascii="微软雅黑" w:hAnsi="微软雅黑" w:eastAsia="微软雅黑" w:cs="Times New Roman"/>
          <w:b/>
          <w:bCs/>
          <w:color w:val="215ACF"/>
          <w:spacing w:val="27"/>
        </w:rPr>
      </w:pPr>
      <w:r>
        <w:rPr>
          <w:rFonts w:hint="eastAsia" w:ascii="微软雅黑" w:hAnsi="微软雅黑" w:eastAsia="微软雅黑" w:cs="Times New Roman"/>
          <w:b/>
          <w:bCs/>
          <w:color w:val="215ACF"/>
          <w:spacing w:val="27"/>
        </w:rPr>
        <w:t>科技成果证明材料：</w:t>
      </w:r>
      <w:r>
        <w:rPr>
          <w:rFonts w:hint="eastAsia" w:ascii="微软雅黑" w:hAnsi="微软雅黑" w:eastAsia="微软雅黑" w:cs="Times New Roman"/>
          <w:spacing w:val="27"/>
        </w:rPr>
        <w:t>公认的有效科技成果的材料，有效的知识产权、登记的技术合同、备案的专利许可、验收的科技项目、评价的科技成果、认可的检验检测方法，获得的政府科技奖等。</w:t>
      </w:r>
    </w:p>
    <w:p>
      <w:pPr>
        <w:pStyle w:val="8"/>
        <w:jc w:val="both"/>
        <w:rPr>
          <w:rFonts w:ascii="微软雅黑" w:hAnsi="微软雅黑" w:eastAsia="微软雅黑" w:cs="Times New Roman"/>
          <w:spacing w:val="27"/>
        </w:rPr>
      </w:pPr>
      <w:r>
        <w:rPr>
          <w:rFonts w:hint="eastAsia" w:ascii="微软雅黑" w:hAnsi="微软雅黑" w:eastAsia="微软雅黑" w:cs="Times New Roman"/>
          <w:b/>
          <w:bCs/>
          <w:color w:val="215ACF"/>
          <w:spacing w:val="27"/>
        </w:rPr>
        <w:t>成果转化证明材料：</w:t>
      </w:r>
      <w:r>
        <w:rPr>
          <w:rFonts w:hint="eastAsia" w:ascii="微软雅黑" w:hAnsi="微软雅黑" w:eastAsia="微软雅黑" w:cs="Times New Roman"/>
          <w:spacing w:val="27"/>
        </w:rPr>
        <w:t>证明科技成果已转化的材料，如：合同（销售、技术转让、技术服务）、发票、生产批文、有相应资质的第三方出具的检测报告等。</w:t>
      </w:r>
    </w:p>
    <w:p>
      <w:pPr>
        <w:topLinePunct/>
        <w:rPr>
          <w:rFonts w:ascii="微软雅黑" w:hAnsi="微软雅黑" w:eastAsia="微软雅黑" w:cs="Times New Roman"/>
          <w:spacing w:val="27"/>
          <w:sz w:val="24"/>
          <w:szCs w:val="24"/>
          <w:u w:val="single"/>
          <w:lang w:eastAsia="zh-CN"/>
        </w:rPr>
      </w:pPr>
      <w:r>
        <w:rPr>
          <w:rFonts w:hint="eastAsia" w:ascii="微软雅黑" w:hAnsi="微软雅黑" w:eastAsia="微软雅黑" w:cs="Times New Roman"/>
          <w:b/>
          <w:bCs/>
          <w:color w:val="215ACF"/>
          <w:spacing w:val="27"/>
          <w:sz w:val="24"/>
          <w:szCs w:val="24"/>
          <w:lang w:eastAsia="zh-CN"/>
        </w:rPr>
        <w:t>科技成果转化能力评价：</w:t>
      </w:r>
      <w:r>
        <w:rPr>
          <w:rFonts w:hint="eastAsia" w:ascii="微软雅黑" w:hAnsi="微软雅黑" w:eastAsia="微软雅黑" w:cs="Times New Roman"/>
          <w:spacing w:val="27"/>
          <w:sz w:val="24"/>
          <w:szCs w:val="24"/>
          <w:u w:val="single"/>
          <w:lang w:eastAsia="zh-CN"/>
        </w:rPr>
        <w:t>由技术专家根据企业科技成果转化总体情况和近3年内科技成果转化的年平均数进行综合评价。同一科技成果分别在国内外转化的，或转化为多个产品、服务、工艺、样品、样机等的，只计为一项。</w:t>
      </w:r>
    </w:p>
    <w:p>
      <w:pPr>
        <w:pStyle w:val="8"/>
        <w:spacing w:before="0" w:beforeAutospacing="0" w:after="0" w:afterAutospacing="0"/>
        <w:ind w:left="440" w:leftChars="200"/>
        <w:jc w:val="both"/>
        <w:rPr>
          <w:rStyle w:val="14"/>
          <w:rFonts w:ascii="微软雅黑" w:hAnsi="微软雅黑" w:eastAsia="微软雅黑"/>
          <w:color w:val="215ACF"/>
          <w:spacing w:val="27"/>
          <w:sz w:val="28"/>
          <w:szCs w:val="32"/>
        </w:rPr>
      </w:pPr>
    </w:p>
    <w:p>
      <w:pPr>
        <w:pStyle w:val="8"/>
        <w:spacing w:before="0" w:beforeAutospacing="0" w:after="0" w:afterAutospacing="0"/>
        <w:ind w:left="440" w:leftChars="200"/>
        <w:jc w:val="both"/>
        <w:rPr>
          <w:rStyle w:val="14"/>
          <w:rFonts w:ascii="微软雅黑" w:hAnsi="微软雅黑" w:eastAsia="微软雅黑"/>
          <w:color w:val="215ACF"/>
          <w:spacing w:val="27"/>
          <w:sz w:val="28"/>
          <w:szCs w:val="32"/>
        </w:rPr>
      </w:pPr>
    </w:p>
    <w:p>
      <w:pPr>
        <w:pStyle w:val="8"/>
        <w:spacing w:before="0" w:beforeAutospacing="0" w:after="0" w:afterAutospacing="0"/>
        <w:ind w:left="440" w:leftChars="200"/>
        <w:jc w:val="both"/>
        <w:rPr>
          <w:rStyle w:val="14"/>
          <w:rFonts w:ascii="微软雅黑" w:hAnsi="微软雅黑" w:eastAsia="微软雅黑"/>
          <w:color w:val="215ACF"/>
          <w:spacing w:val="27"/>
          <w:sz w:val="28"/>
          <w:szCs w:val="32"/>
        </w:rPr>
      </w:pPr>
    </w:p>
    <w:p>
      <w:pPr>
        <w:pStyle w:val="8"/>
        <w:spacing w:before="0" w:beforeAutospacing="0" w:after="0" w:afterAutospacing="0"/>
        <w:ind w:left="440" w:leftChars="200"/>
        <w:jc w:val="both"/>
        <w:rPr>
          <w:rStyle w:val="14"/>
          <w:rFonts w:ascii="微软雅黑" w:hAnsi="微软雅黑" w:eastAsia="微软雅黑" w:cs="Times New Roman"/>
          <w:color w:val="215ACF"/>
          <w:spacing w:val="27"/>
          <w:sz w:val="28"/>
          <w:szCs w:val="32"/>
        </w:rPr>
      </w:pPr>
      <w:r>
        <w:rPr>
          <w:rStyle w:val="14"/>
          <w:rFonts w:hint="eastAsia" w:ascii="微软雅黑" w:hAnsi="微软雅黑" w:eastAsia="微软雅黑" w:cs="Times New Roman"/>
          <w:color w:val="215ACF"/>
          <w:spacing w:val="27"/>
          <w:sz w:val="28"/>
          <w:szCs w:val="32"/>
        </w:rPr>
        <w:t>三、关于知识产权</w:t>
      </w:r>
    </w:p>
    <w:tbl>
      <w:tblPr>
        <w:tblStyle w:val="31"/>
        <w:tblpPr w:leftFromText="180" w:rightFromText="180" w:vertAnchor="text" w:horzAnchor="margin" w:tblpXSpec="center" w:tblpY="333"/>
        <w:tblW w:w="9918"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696"/>
        <w:gridCol w:w="822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696" w:type="dxa"/>
          </w:tcPr>
          <w:p>
            <w:pPr>
              <w:pStyle w:val="8"/>
              <w:spacing w:before="0" w:beforeAutospacing="0" w:after="0" w:afterAutospacing="0"/>
              <w:jc w:val="both"/>
              <w:rPr>
                <w:rFonts w:ascii="微软雅黑" w:hAnsi="微软雅黑" w:eastAsia="微软雅黑"/>
                <w:b w:val="0"/>
                <w:bCs w:val="0"/>
                <w:color w:val="333333"/>
                <w:spacing w:val="27"/>
              </w:rPr>
            </w:pPr>
            <w:r>
              <w:rPr>
                <w:rFonts w:hint="eastAsia" w:ascii="微软雅黑" w:hAnsi="微软雅黑" w:eastAsia="微软雅黑"/>
                <w:b/>
                <w:bCs/>
                <w:color w:val="333333"/>
                <w:spacing w:val="27"/>
              </w:rPr>
              <w:t>申报要求</w:t>
            </w:r>
          </w:p>
        </w:tc>
        <w:tc>
          <w:tcPr>
            <w:tcW w:w="8222" w:type="dxa"/>
          </w:tcPr>
          <w:p>
            <w:pPr>
              <w:rPr>
                <w:rFonts w:ascii="微软雅黑" w:hAnsi="微软雅黑" w:eastAsia="微软雅黑"/>
                <w:b/>
                <w:bCs/>
                <w:color w:val="333333"/>
                <w:spacing w:val="27"/>
                <w:sz w:val="24"/>
                <w:szCs w:val="24"/>
                <w:lang w:eastAsia="zh-CN"/>
              </w:rPr>
            </w:pPr>
            <w:r>
              <w:rPr>
                <w:rFonts w:hint="eastAsia" w:ascii="微软雅黑" w:hAnsi="微软雅黑" w:eastAsia="微软雅黑" w:cs="方正小标宋简体"/>
                <w:b w:val="0"/>
                <w:bCs w:val="0"/>
                <w:color w:val="0D0D0D" w:themeColor="text1" w:themeTint="F2"/>
                <w:kern w:val="24"/>
                <w:sz w:val="24"/>
                <w:szCs w:val="24"/>
                <w:lang w:eastAsia="zh-CN"/>
                <w14:textFill>
                  <w14:solidFill>
                    <w14:schemeClr w14:val="tx1">
                      <w14:lumMod w14:val="95000"/>
                      <w14:lumOff w14:val="5000"/>
                    </w14:schemeClr>
                  </w14:solidFill>
                </w14:textFill>
              </w:rPr>
              <w:t>对其</w:t>
            </w:r>
            <w:r>
              <w:rPr>
                <w:rFonts w:hint="eastAsia" w:ascii="微软雅黑" w:hAnsi="微软雅黑" w:eastAsia="微软雅黑" w:cs="方正小标宋简体"/>
                <w:b w:val="0"/>
                <w:bCs w:val="0"/>
                <w:color w:val="0070C0"/>
                <w:kern w:val="24"/>
                <w:sz w:val="24"/>
                <w:szCs w:val="24"/>
                <w:lang w:eastAsia="zh-CN"/>
              </w:rPr>
              <w:t>主要产品（服务）</w:t>
            </w:r>
            <w:r>
              <w:rPr>
                <w:rFonts w:hint="eastAsia" w:ascii="微软雅黑" w:hAnsi="微软雅黑" w:eastAsia="微软雅黑" w:cs="方正小标宋简体"/>
                <w:b w:val="0"/>
                <w:bCs w:val="0"/>
                <w:color w:val="0D0D0D" w:themeColor="text1" w:themeTint="F2"/>
                <w:kern w:val="24"/>
                <w:sz w:val="24"/>
                <w:szCs w:val="24"/>
                <w:lang w:eastAsia="zh-CN"/>
                <w14:textFill>
                  <w14:solidFill>
                    <w14:schemeClr w14:val="tx1">
                      <w14:lumMod w14:val="95000"/>
                      <w14:lumOff w14:val="5000"/>
                    </w14:schemeClr>
                  </w14:solidFill>
                </w14:textFill>
              </w:rPr>
              <w:t>在技术上发挥核心支持作用的知识产权的所有权。</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696" w:type="dxa"/>
            <w:shd w:val="clear" w:color="auto" w:fill="F1F1F1" w:themeFill="background1" w:themeFillShade="F2"/>
          </w:tcPr>
          <w:p>
            <w:pPr>
              <w:pStyle w:val="8"/>
              <w:spacing w:before="0" w:beforeAutospacing="0" w:after="0" w:afterAutospacing="0"/>
              <w:jc w:val="both"/>
              <w:rPr>
                <w:rFonts w:ascii="微软雅黑" w:hAnsi="微软雅黑" w:eastAsia="微软雅黑"/>
                <w:b w:val="0"/>
                <w:bCs w:val="0"/>
                <w:color w:val="333333"/>
                <w:spacing w:val="27"/>
              </w:rPr>
            </w:pPr>
            <w:r>
              <w:rPr>
                <w:rFonts w:hint="eastAsia" w:ascii="微软雅黑" w:hAnsi="微软雅黑" w:eastAsia="微软雅黑"/>
                <w:b/>
                <w:bCs/>
                <w:color w:val="333333"/>
                <w:spacing w:val="27"/>
              </w:rPr>
              <w:t>注册要求</w:t>
            </w:r>
          </w:p>
        </w:tc>
        <w:tc>
          <w:tcPr>
            <w:tcW w:w="8222" w:type="dxa"/>
            <w:shd w:val="clear" w:color="auto" w:fill="F1F1F1" w:themeFill="background1" w:themeFillShade="F2"/>
          </w:tcPr>
          <w:p>
            <w:pPr>
              <w:pStyle w:val="8"/>
              <w:spacing w:before="0" w:beforeAutospacing="0" w:after="0" w:afterAutospacing="0"/>
              <w:jc w:val="both"/>
              <w:rPr>
                <w:rFonts w:ascii="微软雅黑" w:hAnsi="微软雅黑" w:eastAsia="微软雅黑"/>
                <w:color w:val="333333"/>
                <w:spacing w:val="27"/>
              </w:rPr>
            </w:pPr>
            <w:r>
              <w:rPr>
                <w:rFonts w:hint="eastAsia" w:ascii="微软雅黑" w:hAnsi="微软雅黑" w:eastAsia="微软雅黑"/>
                <w:color w:val="333333"/>
                <w:spacing w:val="27"/>
              </w:rPr>
              <w:t>在中国境内授权。</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c>
          <w:tcPr>
            <w:tcW w:w="1696" w:type="dxa"/>
          </w:tcPr>
          <w:p>
            <w:pPr>
              <w:pStyle w:val="8"/>
              <w:spacing w:before="0" w:beforeAutospacing="0" w:after="0" w:afterAutospacing="0"/>
              <w:jc w:val="both"/>
              <w:rPr>
                <w:rFonts w:ascii="微软雅黑" w:hAnsi="微软雅黑" w:eastAsia="微软雅黑"/>
                <w:b w:val="0"/>
                <w:bCs w:val="0"/>
                <w:color w:val="333333"/>
                <w:spacing w:val="27"/>
              </w:rPr>
            </w:pPr>
            <w:r>
              <w:rPr>
                <w:rFonts w:hint="eastAsia" w:ascii="微软雅黑" w:hAnsi="微软雅黑" w:eastAsia="微软雅黑"/>
                <w:b/>
                <w:bCs/>
                <w:color w:val="333333"/>
                <w:spacing w:val="27"/>
              </w:rPr>
              <w:t>权属人要求</w:t>
            </w:r>
          </w:p>
        </w:tc>
        <w:tc>
          <w:tcPr>
            <w:tcW w:w="8222" w:type="dxa"/>
          </w:tcPr>
          <w:p>
            <w:pPr>
              <w:rPr>
                <w:rFonts w:ascii="微软雅黑" w:hAnsi="微软雅黑" w:eastAsia="微软雅黑"/>
                <w:color w:val="333333"/>
                <w:spacing w:val="27"/>
                <w:sz w:val="24"/>
                <w:szCs w:val="24"/>
                <w:lang w:eastAsia="zh-CN"/>
              </w:rPr>
            </w:pP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知识产权权属人应为</w:t>
            </w:r>
            <w:r>
              <w:rPr>
                <w:rFonts w:hint="eastAsia" w:ascii="微软雅黑" w:hAnsi="微软雅黑" w:eastAsia="微软雅黑" w:cs="方正小标宋简体"/>
                <w:color w:val="0070C0"/>
                <w:kern w:val="24"/>
                <w:sz w:val="24"/>
                <w:szCs w:val="24"/>
                <w:lang w:eastAsia="zh-CN"/>
              </w:rPr>
              <w:t>申请企业</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，有多个权属人时，只能由一个权属人使用。</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c>
          <w:tcPr>
            <w:tcW w:w="1696" w:type="dxa"/>
            <w:shd w:val="clear" w:color="auto" w:fill="F1F1F1" w:themeFill="background1" w:themeFillShade="F2"/>
          </w:tcPr>
          <w:p>
            <w:pPr>
              <w:pStyle w:val="8"/>
              <w:spacing w:before="0" w:beforeAutospacing="0" w:after="0" w:afterAutospacing="0"/>
              <w:jc w:val="both"/>
              <w:rPr>
                <w:rFonts w:ascii="微软雅黑" w:hAnsi="微软雅黑" w:eastAsia="微软雅黑"/>
                <w:b w:val="0"/>
                <w:bCs w:val="0"/>
                <w:color w:val="333333"/>
                <w:spacing w:val="27"/>
              </w:rPr>
            </w:pPr>
            <w:r>
              <w:rPr>
                <w:rFonts w:hint="eastAsia" w:ascii="微软雅黑" w:hAnsi="微软雅黑" w:eastAsia="微软雅黑"/>
                <w:b/>
                <w:bCs/>
                <w:color w:val="333333"/>
                <w:spacing w:val="27"/>
              </w:rPr>
              <w:t>有效期要求</w:t>
            </w:r>
          </w:p>
        </w:tc>
        <w:tc>
          <w:tcPr>
            <w:tcW w:w="8222" w:type="dxa"/>
            <w:shd w:val="clear" w:color="auto" w:fill="F1F1F1" w:themeFill="background1" w:themeFillShade="F2"/>
          </w:tcPr>
          <w:p>
            <w:pPr>
              <w:pStyle w:val="8"/>
              <w:jc w:val="both"/>
              <w:rPr>
                <w:rFonts w:ascii="微软雅黑" w:hAnsi="微软雅黑" w:eastAsia="微软雅黑"/>
                <w:color w:val="333333"/>
                <w:spacing w:val="27"/>
              </w:rPr>
            </w:pPr>
            <w:r>
              <w:rPr>
                <w:rFonts w:hint="eastAsia" w:ascii="微软雅黑" w:hAnsi="微软雅黑" w:eastAsia="微软雅黑"/>
                <w:color w:val="333333"/>
                <w:spacing w:val="27"/>
              </w:rPr>
              <w:t>在中国法律保护的有效保护期内（申请认定时专利的有效性以企业申请认定前获得</w:t>
            </w:r>
            <w:r>
              <w:rPr>
                <w:rFonts w:hint="eastAsia" w:ascii="微软雅黑" w:hAnsi="微软雅黑" w:eastAsia="微软雅黑"/>
                <w:color w:val="4F81BD" w:themeColor="accent1"/>
                <w:spacing w:val="27"/>
                <w14:textFill>
                  <w14:solidFill>
                    <w14:schemeClr w14:val="accent1"/>
                  </w14:solidFill>
                </w14:textFill>
              </w:rPr>
              <w:t>授权证书或授权通知书并能提供缴费收据</w:t>
            </w:r>
            <w:r>
              <w:rPr>
                <w:rFonts w:hint="eastAsia" w:ascii="微软雅黑" w:hAnsi="微软雅黑" w:eastAsia="微软雅黑"/>
                <w:color w:val="333333"/>
                <w:spacing w:val="27"/>
              </w:rPr>
              <w:t>为准）</w:t>
            </w:r>
          </w:p>
        </w:tc>
      </w:tr>
    </w:tbl>
    <w:p>
      <w:pPr>
        <w:pStyle w:val="8"/>
        <w:spacing w:before="0" w:beforeAutospacing="0" w:after="0" w:afterAutospacing="0"/>
        <w:ind w:left="440" w:leftChars="200"/>
        <w:jc w:val="both"/>
        <w:rPr>
          <w:rFonts w:ascii="微软雅黑" w:hAnsi="微软雅黑" w:eastAsia="微软雅黑"/>
          <w:color w:val="333333"/>
          <w:spacing w:val="27"/>
          <w:sz w:val="28"/>
          <w:szCs w:val="32"/>
        </w:rPr>
      </w:pPr>
      <w:r>
        <w:rPr>
          <w:rFonts w:ascii="微软雅黑" w:hAnsi="微软雅黑" w:eastAsia="微软雅黑"/>
          <w:color w:val="333333"/>
          <w:spacing w:val="27"/>
          <w:sz w:val="32"/>
          <w:szCs w:val="36"/>
        </w:rPr>
        <mc:AlternateContent>
          <mc:Choice Requires="wpg">
            <w:drawing>
              <wp:anchor distT="0" distB="0" distL="114300" distR="114300" simplePos="0" relativeHeight="251666432" behindDoc="0" locked="0" layoutInCell="1" allowOverlap="1">
                <wp:simplePos x="0" y="0"/>
                <wp:positionH relativeFrom="margin">
                  <wp:posOffset>-93345</wp:posOffset>
                </wp:positionH>
                <wp:positionV relativeFrom="paragraph">
                  <wp:posOffset>1772920</wp:posOffset>
                </wp:positionV>
                <wp:extent cx="6349365" cy="1841500"/>
                <wp:effectExtent l="0" t="0" r="0" b="6350"/>
                <wp:wrapNone/>
                <wp:docPr id="1745453949" name="组合 9"/>
                <wp:cNvGraphicFramePr/>
                <a:graphic xmlns:a="http://schemas.openxmlformats.org/drawingml/2006/main">
                  <a:graphicData uri="http://schemas.microsoft.com/office/word/2010/wordprocessingGroup">
                    <wpg:wgp>
                      <wpg:cNvGrpSpPr/>
                      <wpg:grpSpPr>
                        <a:xfrm>
                          <a:off x="0" y="0"/>
                          <a:ext cx="6349593" cy="1841500"/>
                          <a:chOff x="3564699" y="1152127"/>
                          <a:chExt cx="4638405" cy="2107550"/>
                        </a:xfrm>
                      </wpg:grpSpPr>
                      <wps:wsp>
                        <wps:cNvPr id="1297688917" name="矩形 1297688917"/>
                        <wps:cNvSpPr/>
                        <wps:spPr>
                          <a:xfrm>
                            <a:off x="3564699" y="1152127"/>
                            <a:ext cx="4633486" cy="2107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1088964" name="文本框 36"/>
                        <wps:cNvSpPr txBox="true"/>
                        <wps:spPr>
                          <a:xfrm>
                            <a:off x="3733974" y="1576454"/>
                            <a:ext cx="4469130" cy="1303173"/>
                          </a:xfrm>
                          <a:prstGeom prst="rect">
                            <a:avLst/>
                          </a:prstGeom>
                          <a:noFill/>
                        </wps:spPr>
                        <wps:txbx>
                          <w:txbxContent>
                            <w:p>
                              <w:pPr>
                                <w:rPr>
                                  <w:rFonts w:ascii="微软雅黑" w:hAnsi="微软雅黑" w:eastAsia="微软雅黑" w:cs="方正小标宋简体"/>
                                  <w:color w:val="0070C0"/>
                                  <w:kern w:val="24"/>
                                  <w:sz w:val="24"/>
                                  <w:szCs w:val="24"/>
                                  <w:lang w:eastAsia="zh-CN"/>
                                </w:rPr>
                              </w:pPr>
                              <w:r>
                                <w:rPr>
                                  <w:rFonts w:hint="eastAsia" w:ascii="微软雅黑" w:hAnsi="微软雅黑" w:eastAsia="微软雅黑" w:cs="方正小标宋简体"/>
                                  <w:color w:val="0070C0"/>
                                  <w:kern w:val="24"/>
                                  <w:sz w:val="24"/>
                                  <w:szCs w:val="24"/>
                                  <w:lang w:eastAsia="zh-CN"/>
                                </w:rPr>
                                <w:t>Ⅰ类知识产权</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：发明专利（含国防专利）、植物新品种、国家级农作物品种、国家新药、国家一级中药保护品种、集成电路布图设计专有权等。</w:t>
                              </w:r>
                            </w:p>
                            <w:p>
                              <w:pPr>
                                <w:rPr>
                                  <w:rFonts w:ascii="微软雅黑" w:hAnsi="微软雅黑" w:eastAsia="微软雅黑" w:cs="方正小标宋简体"/>
                                  <w:color w:val="0070C0"/>
                                  <w:kern w:val="24"/>
                                  <w:sz w:val="24"/>
                                  <w:szCs w:val="24"/>
                                  <w:lang w:eastAsia="zh-CN"/>
                                </w:rPr>
                              </w:pPr>
                              <w:r>
                                <w:rPr>
                                  <w:rFonts w:hint="eastAsia" w:ascii="微软雅黑" w:hAnsi="微软雅黑" w:eastAsia="微软雅黑" w:cs="方正小标宋简体"/>
                                  <w:color w:val="0070C0"/>
                                  <w:kern w:val="24"/>
                                  <w:sz w:val="24"/>
                                  <w:szCs w:val="24"/>
                                  <w:lang w:eastAsia="zh-CN"/>
                                </w:rPr>
                                <w:t>Ⅱ类知识产权</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：实用新型专利、外观设计专利、软件著作权等（不含商标），按</w:t>
                              </w:r>
                              <w:r>
                                <w:rPr>
                                  <w:rFonts w:hint="eastAsia" w:ascii="微软雅黑" w:hAnsi="微软雅黑" w:eastAsia="微软雅黑" w:cs="方正小标宋简体"/>
                                  <w:color w:val="0070C0"/>
                                  <w:kern w:val="24"/>
                                  <w:sz w:val="24"/>
                                  <w:szCs w:val="24"/>
                                  <w:lang w:eastAsia="zh-CN"/>
                                </w:rPr>
                                <w:t>Ⅱ类</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评价的知识产权在申请高企时，</w:t>
                              </w:r>
                              <w:r>
                                <w:rPr>
                                  <w:rFonts w:hint="eastAsia" w:ascii="微软雅黑" w:hAnsi="微软雅黑" w:eastAsia="微软雅黑" w:cs="方正小标宋简体"/>
                                  <w:color w:val="0070C0"/>
                                  <w:kern w:val="24"/>
                                  <w:sz w:val="24"/>
                                  <w:szCs w:val="24"/>
                                  <w:lang w:eastAsia="zh-CN"/>
                                </w:rPr>
                                <w:t>仅限使用一次。</w:t>
                              </w:r>
                            </w:p>
                          </w:txbxContent>
                        </wps:txbx>
                        <wps:bodyPr wrap="square">
                          <a:noAutofit/>
                        </wps:bodyPr>
                      </wps:wsp>
                      <wps:wsp>
                        <wps:cNvPr id="2019471692" name="文本框 37"/>
                        <wps:cNvSpPr txBox="true"/>
                        <wps:spPr>
                          <a:xfrm>
                            <a:off x="3748988" y="1152127"/>
                            <a:ext cx="1363345" cy="403035"/>
                          </a:xfrm>
                          <a:prstGeom prst="rect">
                            <a:avLst/>
                          </a:prstGeom>
                          <a:solidFill>
                            <a:srgbClr val="0070C0"/>
                          </a:solidFill>
                        </wps:spPr>
                        <wps:txbx>
                          <w:txbxContent>
                            <w:p>
                              <w:pPr>
                                <w:jc w:val="center"/>
                                <w:rPr>
                                  <w:rFonts w:ascii="微软雅黑" w:hAnsi="微软雅黑" w:eastAsia="微软雅黑" w:cs="方正小标宋简体"/>
                                  <w:color w:val="FFFFFF" w:themeColor="background1"/>
                                  <w:kern w:val="24"/>
                                  <w:sz w:val="28"/>
                                  <w:szCs w:val="28"/>
                                  <w14:textFill>
                                    <w14:solidFill>
                                      <w14:schemeClr w14:val="bg1"/>
                                    </w14:solidFill>
                                  </w14:textFill>
                                </w:rPr>
                              </w:pPr>
                              <w:r>
                                <w:rPr>
                                  <w:rFonts w:hint="eastAsia" w:ascii="微软雅黑" w:hAnsi="微软雅黑" w:eastAsia="微软雅黑" w:cs="方正小标宋简体"/>
                                  <w:color w:val="FFFFFF" w:themeColor="background1"/>
                                  <w:kern w:val="24"/>
                                  <w:sz w:val="28"/>
                                  <w:szCs w:val="28"/>
                                  <w14:textFill>
                                    <w14:solidFill>
                                      <w14:schemeClr w14:val="bg1"/>
                                    </w14:solidFill>
                                  </w14:textFill>
                                </w:rPr>
                                <w:t>知识产权分类</w:t>
                              </w:r>
                            </w:p>
                          </w:txbxContent>
                        </wps:txbx>
                        <wps:bodyPr wrap="square">
                          <a:noAutofit/>
                        </wps:bodyPr>
                      </wps:wsp>
                    </wpg:wgp>
                  </a:graphicData>
                </a:graphic>
              </wp:anchor>
            </w:drawing>
          </mc:Choice>
          <mc:Fallback>
            <w:pict>
              <v:group id="组合 9" o:spid="_x0000_s1026" o:spt="203" style="position:absolute;left:0pt;margin-left:-7.35pt;margin-top:139.6pt;height:145pt;width:499.95pt;mso-position-horizontal-relative:margin;z-index:251666432;mso-width-relative:page;mso-height-relative:page;" coordorigin="3564699,1152127" coordsize="4638405,2107550" o:gfxdata="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BYAAABkcnMvUEsBAhQAFAAAAAgAh07iQL6AQ6TbAAAACwEAAA8AAAAAAAAA&#10;AQAgAAAAOAAAAGRycy9kb3ducmV2LnhtbFBLAQIUABQAAAAIAIdO4kCoyu+5FQMAACwIAAAOAAAA&#10;AAAAAAEAIAAAAEABAABkcnMvZTJvRG9jLnhtbFBLBQYAAAAABgAGAFkBAADHBgAAAAA=&#10;">
                <o:lock v:ext="edit" aspectratio="f"/>
                <v:rect id="_x0000_s1026" o:spid="_x0000_s1026" o:spt="1" style="position:absolute;left:3564699;top:1152127;height:2107550;width:4633486;v-text-anchor:middle;" fillcolor="#F2F2F2 [3052]" filled="t" stroked="f" coordsize="21600,21600" o:gfxdata="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vRg8HBAAAA4wAAAA8AAAAAAAAAAQAgAAAAOAAAAGRycy9kb3du&#10;cmV2LnhtbFBLAQIUABQAAAAIAIdO4kAzLwWeOwAAADkAAAAQAAAAAAAAAAEAIAAAACYBAABkcnMv&#10;c2hhcGV4bWwueG1sUEsFBgAAAAAGAAYAWwEAANADAAAAAA==&#10;">
                  <v:fill on="t" focussize="0,0"/>
                  <v:stroke on="f" weight="2pt"/>
                  <v:imagedata o:title=""/>
                  <o:lock v:ext="edit" aspectratio="f"/>
                </v:rect>
                <v:shape id="文本框 36" o:spid="_x0000_s1026" o:spt="202" type="#_x0000_t202" style="position:absolute;left:3733974;top:1576454;height:1303173;width:4469130;" filled="f" stroked="f" coordsize="21600,21600" o:gfxdata="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AewXk6wgAAAOMAAAAPAAAAAAAAAAEAIAAAADgAAABkcnMvZG93&#10;bnJldi54bWxQSwECFAAUAAAACACHTuJAMy8FnjsAAAA5AAAAEAAAAAAAAAABACAAAAAnAQAAZHJz&#10;L3NoYXBleG1sLnhtbFBLBQYAAAAABgAGAFsBAADRAwAAAAA=&#10;">
                  <v:fill on="f" focussize="0,0"/>
                  <v:stroke on="f"/>
                  <v:imagedata o:title=""/>
                  <o:lock v:ext="edit" aspectratio="f"/>
                  <v:textbox>
                    <w:txbxContent>
                      <w:p>
                        <w:pPr>
                          <w:rPr>
                            <w:rFonts w:ascii="微软雅黑" w:hAnsi="微软雅黑" w:eastAsia="微软雅黑" w:cs="方正小标宋简体"/>
                            <w:color w:val="0070C0"/>
                            <w:kern w:val="24"/>
                            <w:sz w:val="24"/>
                            <w:szCs w:val="24"/>
                            <w:lang w:eastAsia="zh-CN"/>
                          </w:rPr>
                        </w:pPr>
                        <w:r>
                          <w:rPr>
                            <w:rFonts w:hint="eastAsia" w:ascii="微软雅黑" w:hAnsi="微软雅黑" w:eastAsia="微软雅黑" w:cs="方正小标宋简体"/>
                            <w:color w:val="0070C0"/>
                            <w:kern w:val="24"/>
                            <w:sz w:val="24"/>
                            <w:szCs w:val="24"/>
                            <w:lang w:eastAsia="zh-CN"/>
                          </w:rPr>
                          <w:t>Ⅰ类知识产权</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：发明专利（含国防专利）、植物新品种、国家级农作物品种、国家新药、国家一级中药保护品种、集成电路布图设计专有权等。</w:t>
                        </w:r>
                      </w:p>
                      <w:p>
                        <w:pPr>
                          <w:rPr>
                            <w:rFonts w:ascii="微软雅黑" w:hAnsi="微软雅黑" w:eastAsia="微软雅黑" w:cs="方正小标宋简体"/>
                            <w:color w:val="0070C0"/>
                            <w:kern w:val="24"/>
                            <w:sz w:val="24"/>
                            <w:szCs w:val="24"/>
                            <w:lang w:eastAsia="zh-CN"/>
                          </w:rPr>
                        </w:pPr>
                        <w:r>
                          <w:rPr>
                            <w:rFonts w:hint="eastAsia" w:ascii="微软雅黑" w:hAnsi="微软雅黑" w:eastAsia="微软雅黑" w:cs="方正小标宋简体"/>
                            <w:color w:val="0070C0"/>
                            <w:kern w:val="24"/>
                            <w:sz w:val="24"/>
                            <w:szCs w:val="24"/>
                            <w:lang w:eastAsia="zh-CN"/>
                          </w:rPr>
                          <w:t>Ⅱ类知识产权</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：实用新型专利、外观设计专利、软件著作权等（不含商标），按</w:t>
                        </w:r>
                        <w:r>
                          <w:rPr>
                            <w:rFonts w:hint="eastAsia" w:ascii="微软雅黑" w:hAnsi="微软雅黑" w:eastAsia="微软雅黑" w:cs="方正小标宋简体"/>
                            <w:color w:val="0070C0"/>
                            <w:kern w:val="24"/>
                            <w:sz w:val="24"/>
                            <w:szCs w:val="24"/>
                            <w:lang w:eastAsia="zh-CN"/>
                          </w:rPr>
                          <w:t>Ⅱ类</w:t>
                        </w:r>
                        <w:r>
                          <w:rPr>
                            <w:rFonts w:hint="eastAsia" w:ascii="微软雅黑" w:hAnsi="微软雅黑" w:eastAsia="微软雅黑" w:cs="方正小标宋简体"/>
                            <w:color w:val="0D0D0D" w:themeColor="text1" w:themeTint="F2"/>
                            <w:kern w:val="24"/>
                            <w:sz w:val="24"/>
                            <w:szCs w:val="24"/>
                            <w:lang w:eastAsia="zh-CN"/>
                            <w14:textFill>
                              <w14:solidFill>
                                <w14:schemeClr w14:val="tx1">
                                  <w14:lumMod w14:val="95000"/>
                                  <w14:lumOff w14:val="5000"/>
                                </w14:schemeClr>
                              </w14:solidFill>
                            </w14:textFill>
                          </w:rPr>
                          <w:t>评价的知识产权在申请高企时，</w:t>
                        </w:r>
                        <w:r>
                          <w:rPr>
                            <w:rFonts w:hint="eastAsia" w:ascii="微软雅黑" w:hAnsi="微软雅黑" w:eastAsia="微软雅黑" w:cs="方正小标宋简体"/>
                            <w:color w:val="0070C0"/>
                            <w:kern w:val="24"/>
                            <w:sz w:val="24"/>
                            <w:szCs w:val="24"/>
                            <w:lang w:eastAsia="zh-CN"/>
                          </w:rPr>
                          <w:t>仅限使用一次。</w:t>
                        </w:r>
                      </w:p>
                    </w:txbxContent>
                  </v:textbox>
                </v:shape>
                <v:shape id="文本框 37" o:spid="_x0000_s1026" o:spt="202" type="#_x0000_t202" style="position:absolute;left:3748988;top:1152127;height:403035;width:1363345;" fillcolor="#0070C0" filled="t" stroked="f" coordsize="21600,21600" o:gfxdata="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9m8pJwgAAAOMAAAAPAAAAAAAAAAEAIAAAADgAAABkcnMvZG93&#10;bnJldi54bWxQSwECFAAUAAAACACHTuJAMy8FnjsAAAA5AAAAEAAAAAAAAAABACAAAAAnAQAAZHJz&#10;L3NoYXBleG1sLnhtbFBLBQYAAAAABgAGAFsBAADRAwAAAAA=&#10;">
                  <v:fill on="t" focussize="0,0"/>
                  <v:stroke on="f"/>
                  <v:imagedata o:title=""/>
                  <o:lock v:ext="edit" aspectratio="f"/>
                  <v:textbox>
                    <w:txbxContent>
                      <w:p>
                        <w:pPr>
                          <w:jc w:val="center"/>
                          <w:rPr>
                            <w:rFonts w:ascii="微软雅黑" w:hAnsi="微软雅黑" w:eastAsia="微软雅黑" w:cs="方正小标宋简体"/>
                            <w:color w:val="FFFFFF" w:themeColor="background1"/>
                            <w:kern w:val="24"/>
                            <w:sz w:val="28"/>
                            <w:szCs w:val="28"/>
                            <w14:textFill>
                              <w14:solidFill>
                                <w14:schemeClr w14:val="bg1"/>
                              </w14:solidFill>
                            </w14:textFill>
                          </w:rPr>
                        </w:pPr>
                        <w:r>
                          <w:rPr>
                            <w:rFonts w:hint="eastAsia" w:ascii="微软雅黑" w:hAnsi="微软雅黑" w:eastAsia="微软雅黑" w:cs="方正小标宋简体"/>
                            <w:color w:val="FFFFFF" w:themeColor="background1"/>
                            <w:kern w:val="24"/>
                            <w:sz w:val="28"/>
                            <w:szCs w:val="28"/>
                            <w14:textFill>
                              <w14:solidFill>
                                <w14:schemeClr w14:val="bg1"/>
                              </w14:solidFill>
                            </w14:textFill>
                          </w:rPr>
                          <w:t>知识产权分类</w:t>
                        </w:r>
                      </w:p>
                    </w:txbxContent>
                  </v:textbox>
                </v:shape>
              </v:group>
            </w:pict>
          </mc:Fallback>
        </mc:AlternateContent>
      </w:r>
    </w:p>
    <w:p>
      <w:pPr>
        <w:pStyle w:val="8"/>
        <w:spacing w:before="0" w:beforeAutospacing="0" w:after="0" w:afterAutospacing="0"/>
        <w:ind w:left="440" w:leftChars="200"/>
        <w:jc w:val="both"/>
        <w:rPr>
          <w:rFonts w:ascii="微软雅黑" w:hAnsi="微软雅黑" w:eastAsia="微软雅黑"/>
          <w:color w:val="333333"/>
          <w:spacing w:val="27"/>
          <w:sz w:val="32"/>
          <w:szCs w:val="36"/>
        </w:rPr>
      </w:pPr>
    </w:p>
    <w:p>
      <w:pPr>
        <w:pStyle w:val="8"/>
        <w:spacing w:before="0" w:beforeAutospacing="0" w:after="0" w:afterAutospacing="0"/>
        <w:ind w:left="440" w:leftChars="200"/>
        <w:jc w:val="both"/>
        <w:rPr>
          <w:rFonts w:ascii="微软雅黑" w:hAnsi="微软雅黑" w:eastAsia="微软雅黑"/>
          <w:color w:val="333333"/>
          <w:spacing w:val="27"/>
          <w:sz w:val="32"/>
          <w:szCs w:val="36"/>
        </w:rPr>
      </w:pPr>
    </w:p>
    <w:p>
      <w:pPr>
        <w:pStyle w:val="8"/>
        <w:spacing w:before="0" w:beforeAutospacing="0" w:after="0" w:afterAutospacing="0"/>
        <w:ind w:left="440" w:leftChars="200"/>
        <w:jc w:val="both"/>
        <w:rPr>
          <w:rFonts w:ascii="微软雅黑" w:hAnsi="微软雅黑" w:eastAsia="微软雅黑"/>
          <w:color w:val="333333"/>
          <w:spacing w:val="27"/>
          <w:sz w:val="32"/>
          <w:szCs w:val="36"/>
        </w:rPr>
      </w:pPr>
    </w:p>
    <w:p>
      <w:pPr>
        <w:pStyle w:val="8"/>
        <w:spacing w:before="0" w:beforeAutospacing="0" w:after="0" w:afterAutospacing="0"/>
        <w:ind w:left="440" w:leftChars="200"/>
        <w:jc w:val="both"/>
        <w:rPr>
          <w:rFonts w:ascii="微软雅黑" w:hAnsi="微软雅黑" w:eastAsia="微软雅黑"/>
          <w:color w:val="333333"/>
          <w:spacing w:val="27"/>
          <w:sz w:val="32"/>
          <w:szCs w:val="36"/>
        </w:rPr>
      </w:pPr>
    </w:p>
    <w:p>
      <w:pPr>
        <w:pStyle w:val="8"/>
        <w:spacing w:before="0" w:beforeAutospacing="0" w:after="0" w:afterAutospacing="0"/>
        <w:jc w:val="both"/>
        <w:rPr>
          <w:rFonts w:ascii="微软雅黑" w:hAnsi="微软雅黑" w:eastAsia="微软雅黑"/>
          <w:color w:val="333333"/>
          <w:spacing w:val="27"/>
          <w:sz w:val="32"/>
          <w:szCs w:val="36"/>
        </w:rPr>
      </w:pPr>
    </w:p>
    <w:p>
      <w:pPr>
        <w:pStyle w:val="8"/>
        <w:spacing w:before="0" w:beforeAutospacing="0" w:after="0" w:afterAutospacing="0"/>
        <w:ind w:left="440" w:leftChars="200"/>
        <w:jc w:val="both"/>
        <w:rPr>
          <w:rFonts w:ascii="微软雅黑" w:hAnsi="微软雅黑" w:eastAsia="微软雅黑"/>
          <w:color w:val="333333"/>
          <w:spacing w:val="27"/>
          <w:sz w:val="32"/>
          <w:szCs w:val="36"/>
        </w:rPr>
        <w:sectPr>
          <w:pgSz w:w="11910" w:h="16840"/>
          <w:pgMar w:top="1418" w:right="1077" w:bottom="1021" w:left="1077" w:header="720" w:footer="720" w:gutter="0"/>
          <w:pgNumType w:fmt="numberInDash"/>
          <w:cols w:space="720" w:num="1"/>
        </w:sectPr>
      </w:pPr>
    </w:p>
    <w:p>
      <w:pPr>
        <w:pStyle w:val="8"/>
        <w:spacing w:before="0" w:beforeAutospacing="0" w:after="0" w:afterAutospacing="0"/>
        <w:ind w:left="440" w:leftChars="200"/>
        <w:jc w:val="both"/>
        <w:rPr>
          <w:rFonts w:ascii="微软雅黑" w:hAnsi="微软雅黑" w:eastAsia="微软雅黑"/>
          <w:color w:val="333333"/>
          <w:spacing w:val="27"/>
          <w:sz w:val="32"/>
          <w:szCs w:val="36"/>
        </w:rPr>
      </w:pPr>
      <w:r>
        <w:drawing>
          <wp:inline distT="0" distB="0" distL="0" distR="0">
            <wp:extent cx="9144635" cy="5144135"/>
            <wp:effectExtent l="0" t="0" r="0" b="0"/>
            <wp:docPr id="1864258463" name="图形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4258463" name="图形 1"/>
                    <pic:cNvPicPr>
                      <a:picLocks noChangeAspect="true"/>
                    </pic:cNvPicPr>
                  </pic:nvPicPr>
                  <pic:blipFill>
                    <a:blip r:embed="rId8">
                      <a:extLst>
                        <a:ext uri="{96DAC541-7B7A-43D3-8B79-37D633B846F1}">
                          <asvg:svgBlip xmlns:asvg="http://schemas.microsoft.com/office/drawing/2016/SVG/main" r:embed="rId9"/>
                        </a:ext>
                      </a:extLst>
                    </a:blip>
                    <a:stretch>
                      <a:fillRect/>
                    </a:stretch>
                  </pic:blipFill>
                  <pic:spPr>
                    <a:xfrm>
                      <a:off x="0" y="0"/>
                      <a:ext cx="9144635" cy="5144135"/>
                    </a:xfrm>
                    <a:prstGeom prst="rect">
                      <a:avLst/>
                    </a:prstGeom>
                  </pic:spPr>
                </pic:pic>
              </a:graphicData>
            </a:graphic>
          </wp:inline>
        </w:drawing>
      </w:r>
    </w:p>
    <w:p>
      <w:pPr>
        <w:pStyle w:val="8"/>
        <w:spacing w:before="0" w:beforeAutospacing="0" w:after="0" w:afterAutospacing="0"/>
        <w:ind w:left="440" w:leftChars="200"/>
        <w:jc w:val="both"/>
        <w:rPr>
          <w:rFonts w:ascii="微软雅黑" w:hAnsi="微软雅黑" w:eastAsia="微软雅黑"/>
          <w:color w:val="333333"/>
          <w:spacing w:val="27"/>
          <w:sz w:val="32"/>
          <w:szCs w:val="36"/>
        </w:rPr>
      </w:pPr>
    </w:p>
    <w:p>
      <w:pPr>
        <w:pStyle w:val="8"/>
        <w:spacing w:before="0" w:beforeAutospacing="0" w:after="0" w:afterAutospacing="0"/>
        <w:ind w:left="440" w:leftChars="200"/>
        <w:jc w:val="both"/>
        <w:rPr>
          <w:rFonts w:ascii="微软雅黑" w:hAnsi="微软雅黑" w:eastAsia="微软雅黑"/>
          <w:color w:val="333333"/>
          <w:spacing w:val="27"/>
          <w:sz w:val="32"/>
          <w:szCs w:val="36"/>
        </w:rPr>
        <w:sectPr>
          <w:pgSz w:w="16840" w:h="11910" w:orient="landscape"/>
          <w:pgMar w:top="1077" w:right="1418" w:bottom="1077" w:left="1021" w:header="720" w:footer="720" w:gutter="0"/>
          <w:pgNumType w:fmt="numberInDash"/>
          <w:cols w:space="720" w:num="1"/>
          <w:docGrid w:linePitch="299" w:charSpace="0"/>
        </w:sectPr>
      </w:pPr>
    </w:p>
    <w:p>
      <w:pPr>
        <w:pStyle w:val="8"/>
        <w:spacing w:before="0" w:beforeAutospacing="0" w:after="0" w:afterAutospacing="0" w:line="240" w:lineRule="atLeast"/>
        <w:jc w:val="both"/>
        <w:rPr>
          <w:rStyle w:val="14"/>
          <w:rFonts w:ascii="微软雅黑" w:hAnsi="微软雅黑" w:eastAsia="微软雅黑"/>
          <w:color w:val="215ACF"/>
          <w:spacing w:val="27"/>
          <w:sz w:val="28"/>
          <w:szCs w:val="32"/>
        </w:rPr>
      </w:pPr>
      <w:r>
        <w:drawing>
          <wp:inline distT="0" distB="0" distL="0" distR="0">
            <wp:extent cx="9144635" cy="5144135"/>
            <wp:effectExtent l="0" t="0" r="0" b="0"/>
            <wp:docPr id="2112498681" name="图形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12498681" name="图形 1"/>
                    <pic:cNvPicPr>
                      <a:picLocks noChangeAspect="true"/>
                    </pic:cNvPicPr>
                  </pic:nvPicPr>
                  <pic:blipFill>
                    <a:blip r:embed="rId10">
                      <a:extLst>
                        <a:ext uri="{96DAC541-7B7A-43D3-8B79-37D633B846F1}">
                          <asvg:svgBlip xmlns:asvg="http://schemas.microsoft.com/office/drawing/2016/SVG/main" r:embed="rId11"/>
                        </a:ext>
                      </a:extLst>
                    </a:blip>
                    <a:stretch>
                      <a:fillRect/>
                    </a:stretch>
                  </pic:blipFill>
                  <pic:spPr>
                    <a:xfrm>
                      <a:off x="0" y="0"/>
                      <a:ext cx="9144635" cy="5144135"/>
                    </a:xfrm>
                    <a:prstGeom prst="rect">
                      <a:avLst/>
                    </a:prstGeom>
                  </pic:spPr>
                </pic:pic>
              </a:graphicData>
            </a:graphic>
          </wp:inline>
        </w:drawing>
      </w:r>
    </w:p>
    <w:p>
      <w:pPr>
        <w:pStyle w:val="8"/>
        <w:spacing w:before="0" w:beforeAutospacing="0" w:after="0" w:afterAutospacing="0" w:line="240" w:lineRule="atLeast"/>
        <w:jc w:val="both"/>
        <w:rPr>
          <w:rStyle w:val="14"/>
          <w:rFonts w:ascii="微软雅黑" w:hAnsi="微软雅黑" w:eastAsia="微软雅黑"/>
          <w:color w:val="215ACF"/>
          <w:spacing w:val="27"/>
          <w:sz w:val="28"/>
          <w:szCs w:val="32"/>
        </w:rPr>
      </w:pPr>
    </w:p>
    <w:p>
      <w:pPr>
        <w:pStyle w:val="8"/>
        <w:spacing w:before="0" w:beforeAutospacing="0" w:after="0" w:afterAutospacing="0" w:line="240" w:lineRule="atLeast"/>
        <w:jc w:val="both"/>
        <w:rPr>
          <w:rStyle w:val="14"/>
          <w:rFonts w:ascii="微软雅黑" w:hAnsi="微软雅黑" w:eastAsia="微软雅黑"/>
          <w:color w:val="215ACF"/>
          <w:spacing w:val="27"/>
          <w:sz w:val="28"/>
          <w:szCs w:val="32"/>
        </w:rPr>
      </w:pPr>
    </w:p>
    <w:p>
      <w:pPr>
        <w:pStyle w:val="8"/>
        <w:spacing w:before="0" w:beforeAutospacing="0" w:after="0" w:afterAutospacing="0" w:line="240" w:lineRule="atLeast"/>
        <w:jc w:val="both"/>
        <w:rPr>
          <w:rStyle w:val="14"/>
          <w:rFonts w:ascii="微软雅黑" w:hAnsi="微软雅黑" w:eastAsia="微软雅黑"/>
          <w:color w:val="215ACF"/>
          <w:spacing w:val="27"/>
          <w:sz w:val="28"/>
          <w:szCs w:val="32"/>
        </w:rPr>
      </w:pPr>
    </w:p>
    <w:p>
      <w:pPr>
        <w:pStyle w:val="8"/>
        <w:spacing w:before="0" w:beforeAutospacing="0" w:after="0" w:afterAutospacing="0" w:line="240" w:lineRule="atLeast"/>
        <w:jc w:val="both"/>
        <w:rPr>
          <w:rStyle w:val="14"/>
          <w:color w:val="215ACF"/>
          <w:szCs w:val="22"/>
        </w:rPr>
      </w:pPr>
      <w:r>
        <w:rPr>
          <w:rStyle w:val="14"/>
          <w:rFonts w:hint="eastAsia" w:ascii="微软雅黑" w:hAnsi="微软雅黑" w:eastAsia="微软雅黑"/>
          <w:color w:val="215ACF"/>
          <w:spacing w:val="27"/>
          <w:sz w:val="28"/>
          <w:szCs w:val="32"/>
        </w:rPr>
        <w:t>四</w:t>
      </w:r>
      <w:r>
        <w:rPr>
          <w:rStyle w:val="14"/>
          <w:rFonts w:ascii="微软雅黑" w:hAnsi="微软雅黑" w:eastAsia="微软雅黑"/>
          <w:color w:val="215ACF"/>
          <w:spacing w:val="27"/>
          <w:sz w:val="28"/>
          <w:szCs w:val="32"/>
        </w:rPr>
        <w:t>、关于研发费用</w:t>
      </w:r>
    </w:p>
    <w:p>
      <w:pPr>
        <w:pStyle w:val="8"/>
        <w:spacing w:before="0" w:beforeAutospacing="0" w:after="0" w:afterAutospacing="0"/>
        <w:ind w:left="440" w:leftChars="200"/>
        <w:jc w:val="both"/>
        <w:rPr>
          <w:rFonts w:ascii="微软雅黑" w:hAnsi="微软雅黑" w:eastAsia="微软雅黑"/>
          <w:color w:val="333333"/>
          <w:spacing w:val="27"/>
          <w:sz w:val="28"/>
          <w:szCs w:val="32"/>
        </w:rPr>
      </w:pPr>
    </w:p>
    <w:tbl>
      <w:tblPr>
        <w:tblStyle w:val="9"/>
        <w:tblW w:w="14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4110"/>
        <w:gridCol w:w="3777"/>
        <w:gridCol w:w="354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180" w:type="dxa"/>
            <w:shd w:val="clear" w:color="auto" w:fill="auto"/>
            <w:vAlign w:val="center"/>
          </w:tcPr>
          <w:p>
            <w:pPr>
              <w:widowControl/>
              <w:jc w:val="center"/>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费用项目</w:t>
            </w:r>
          </w:p>
        </w:tc>
        <w:tc>
          <w:tcPr>
            <w:tcW w:w="4110" w:type="dxa"/>
            <w:shd w:val="clear" w:color="auto" w:fill="auto"/>
            <w:vAlign w:val="center"/>
          </w:tcPr>
          <w:p>
            <w:pPr>
              <w:widowControl/>
              <w:jc w:val="center"/>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高新技术企业认定</w:t>
            </w:r>
          </w:p>
        </w:tc>
        <w:tc>
          <w:tcPr>
            <w:tcW w:w="3777" w:type="dxa"/>
            <w:vAlign w:val="center"/>
          </w:tcPr>
          <w:p>
            <w:pPr>
              <w:widowControl/>
              <w:jc w:val="center"/>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研发费用加计扣除</w:t>
            </w:r>
          </w:p>
        </w:tc>
        <w:tc>
          <w:tcPr>
            <w:tcW w:w="3544" w:type="dxa"/>
            <w:shd w:val="clear" w:color="auto" w:fill="auto"/>
            <w:vAlign w:val="center"/>
          </w:tcPr>
          <w:p>
            <w:pPr>
              <w:widowControl/>
              <w:jc w:val="center"/>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会计规定</w:t>
            </w:r>
          </w:p>
        </w:tc>
        <w:tc>
          <w:tcPr>
            <w:tcW w:w="1985" w:type="dxa"/>
            <w:shd w:val="clear" w:color="auto" w:fill="auto"/>
            <w:vAlign w:val="center"/>
          </w:tcPr>
          <w:p>
            <w:pPr>
              <w:widowControl/>
              <w:jc w:val="center"/>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18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人工费用</w:t>
            </w:r>
          </w:p>
        </w:tc>
        <w:tc>
          <w:tcPr>
            <w:tcW w:w="411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企业</w:t>
            </w:r>
            <w:r>
              <w:rPr>
                <w:rFonts w:hint="eastAsia" w:ascii="华文中宋" w:hAnsi="华文中宋" w:eastAsia="华文中宋" w:cs="宋体"/>
                <w:color w:val="FF0000"/>
                <w:sz w:val="24"/>
                <w:szCs w:val="24"/>
                <w:lang w:eastAsia="zh-CN"/>
              </w:rPr>
              <w:t>科技人员</w:t>
            </w:r>
            <w:r>
              <w:rPr>
                <w:rFonts w:hint="eastAsia" w:ascii="华文中宋" w:hAnsi="华文中宋" w:eastAsia="华文中宋" w:cs="宋体"/>
                <w:color w:val="000000"/>
                <w:sz w:val="24"/>
                <w:szCs w:val="24"/>
                <w:lang w:eastAsia="zh-CN"/>
              </w:rPr>
              <w:t>的工资薪金、基本养老保险费、基本医疗保险费、失业保险费、工伤保险费、生育保险费和住房公积金，以及外聘科技人员的劳务费用。</w:t>
            </w:r>
          </w:p>
        </w:tc>
        <w:tc>
          <w:tcPr>
            <w:tcW w:w="3777" w:type="dxa"/>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直接从事</w:t>
            </w:r>
            <w:r>
              <w:rPr>
                <w:rFonts w:hint="eastAsia" w:ascii="华文中宋" w:hAnsi="华文中宋" w:eastAsia="华文中宋" w:cs="宋体"/>
                <w:color w:val="FF0000"/>
                <w:sz w:val="24"/>
                <w:szCs w:val="24"/>
                <w:lang w:eastAsia="zh-CN"/>
              </w:rPr>
              <w:t>研发活动人员</w:t>
            </w:r>
            <w:r>
              <w:rPr>
                <w:rFonts w:hint="eastAsia" w:ascii="华文中宋" w:hAnsi="华文中宋" w:eastAsia="华文中宋" w:cs="宋体"/>
                <w:color w:val="000000"/>
                <w:sz w:val="24"/>
                <w:szCs w:val="24"/>
                <w:lang w:eastAsia="zh-CN"/>
              </w:rPr>
              <w:t>的工资薪金、基本养老保险费、基本医疗保险费、失业保险费、工伤保险费、生育保险费和住房公积金，以及外聘研发人员的劳务费用。</w:t>
            </w:r>
          </w:p>
        </w:tc>
        <w:tc>
          <w:tcPr>
            <w:tcW w:w="3544"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企业在职研发人员的工资、奖金、津贴、补贴、社会保险费、住房公积金等人工费用以及外聘研发人员的劳务费用。</w:t>
            </w:r>
          </w:p>
        </w:tc>
        <w:tc>
          <w:tcPr>
            <w:tcW w:w="1985" w:type="dxa"/>
            <w:shd w:val="clear" w:color="auto" w:fill="auto"/>
            <w:vAlign w:val="center"/>
          </w:tcPr>
          <w:p>
            <w:pPr>
              <w:widowControl/>
              <w:rPr>
                <w:rFonts w:ascii="华文中宋" w:hAnsi="华文中宋" w:eastAsia="华文中宋" w:cs="宋体"/>
                <w:color w:val="FF0000"/>
                <w:sz w:val="24"/>
                <w:szCs w:val="24"/>
                <w:lang w:eastAsia="zh-CN"/>
              </w:rPr>
            </w:pPr>
            <w:r>
              <w:rPr>
                <w:rFonts w:hint="eastAsia" w:ascii="华文中宋" w:hAnsi="华文中宋" w:eastAsia="华文中宋" w:cs="宋体"/>
                <w:color w:val="FF0000"/>
                <w:sz w:val="24"/>
                <w:szCs w:val="24"/>
                <w:lang w:eastAsia="zh-CN"/>
              </w:rPr>
              <w:t>加计扣除范围的研发人员没有累计工作满183天的限制。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80" w:type="dxa"/>
            <w:vMerge w:val="restart"/>
            <w:shd w:val="clear" w:color="auto" w:fill="auto"/>
            <w:vAlign w:val="center"/>
          </w:tcPr>
          <w:p>
            <w:pPr>
              <w:widowControl/>
              <w:jc w:val="center"/>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直接投入费用</w:t>
            </w:r>
          </w:p>
        </w:tc>
        <w:tc>
          <w:tcPr>
            <w:tcW w:w="4110" w:type="dxa"/>
            <w:shd w:val="clear" w:color="auto" w:fill="auto"/>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直接消耗的材料、燃料和动力费用；</w:t>
            </w:r>
          </w:p>
        </w:tc>
        <w:tc>
          <w:tcPr>
            <w:tcW w:w="3777" w:type="dxa"/>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研发活动直接消耗的材料、燃料和动力费用；</w:t>
            </w:r>
          </w:p>
        </w:tc>
        <w:tc>
          <w:tcPr>
            <w:tcW w:w="3544"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研发活动直接消耗的材料、燃料和动力费用；</w:t>
            </w:r>
          </w:p>
        </w:tc>
        <w:tc>
          <w:tcPr>
            <w:tcW w:w="1985" w:type="dxa"/>
            <w:vMerge w:val="restart"/>
            <w:shd w:val="clear" w:color="auto" w:fill="auto"/>
            <w:vAlign w:val="center"/>
          </w:tcPr>
          <w:p>
            <w:pPr>
              <w:widowControl/>
              <w:jc w:val="center"/>
              <w:rPr>
                <w:rFonts w:ascii="华文中宋" w:hAnsi="华文中宋" w:eastAsia="华文中宋" w:cs="宋体"/>
                <w:color w:val="FF0000"/>
                <w:sz w:val="24"/>
                <w:szCs w:val="24"/>
                <w:lang w:eastAsia="zh-CN"/>
              </w:rPr>
            </w:pPr>
            <w:r>
              <w:rPr>
                <w:rFonts w:hint="eastAsia" w:ascii="华文中宋" w:hAnsi="华文中宋" w:eastAsia="华文中宋" w:cs="宋体"/>
                <w:color w:val="FF0000"/>
                <w:sz w:val="24"/>
                <w:szCs w:val="24"/>
                <w:lang w:eastAsia="zh-CN"/>
              </w:rPr>
              <w:t>房屋租赁费不计入加计扣除范围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180" w:type="dxa"/>
            <w:vMerge w:val="continue"/>
            <w:vAlign w:val="center"/>
          </w:tcPr>
          <w:p>
            <w:pPr>
              <w:widowControl/>
              <w:rPr>
                <w:rFonts w:ascii="华文中宋" w:hAnsi="华文中宋" w:eastAsia="华文中宋" w:cs="宋体"/>
                <w:color w:val="000000"/>
                <w:sz w:val="24"/>
                <w:szCs w:val="24"/>
                <w:lang w:eastAsia="zh-CN"/>
              </w:rPr>
            </w:pPr>
          </w:p>
        </w:tc>
        <w:tc>
          <w:tcPr>
            <w:tcW w:w="4110" w:type="dxa"/>
            <w:shd w:val="clear" w:color="auto" w:fill="auto"/>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用于中间试验和产品试制的模具、工艺装备开发及制造费，不构成固定资产的样品、样机及一般测试手段购置费，试制产品的检验费；</w:t>
            </w:r>
          </w:p>
        </w:tc>
        <w:tc>
          <w:tcPr>
            <w:tcW w:w="3777" w:type="dxa"/>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用于中间试验和产品试制的模具、工艺装备开发及制造费，不构成固定资产的样品、样机及一般测试手段购置费，试制产品的检验费；</w:t>
            </w:r>
          </w:p>
        </w:tc>
        <w:tc>
          <w:tcPr>
            <w:tcW w:w="3544" w:type="dxa"/>
            <w:shd w:val="clear" w:color="auto" w:fill="auto"/>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用于中间试验和产品试制的模具、工艺装备开发及制造费，样品、样机及一般测试手段购置费，试制产品的检验费；</w:t>
            </w:r>
          </w:p>
        </w:tc>
        <w:tc>
          <w:tcPr>
            <w:tcW w:w="1985" w:type="dxa"/>
            <w:vMerge w:val="continue"/>
            <w:vAlign w:val="center"/>
          </w:tcPr>
          <w:p>
            <w:pPr>
              <w:widowControl/>
              <w:rPr>
                <w:rFonts w:ascii="华文中宋" w:hAnsi="华文中宋" w:eastAsia="华文中宋" w:cs="宋体"/>
                <w:color w:val="FF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1180" w:type="dxa"/>
            <w:vMerge w:val="continue"/>
            <w:vAlign w:val="center"/>
          </w:tcPr>
          <w:p>
            <w:pPr>
              <w:widowControl/>
              <w:rPr>
                <w:rFonts w:ascii="华文中宋" w:hAnsi="华文中宋" w:eastAsia="华文中宋" w:cs="宋体"/>
                <w:color w:val="000000"/>
                <w:sz w:val="24"/>
                <w:szCs w:val="24"/>
                <w:lang w:eastAsia="zh-CN"/>
              </w:rPr>
            </w:pPr>
          </w:p>
        </w:tc>
        <w:tc>
          <w:tcPr>
            <w:tcW w:w="4110" w:type="dxa"/>
            <w:shd w:val="clear" w:color="auto" w:fill="auto"/>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用于研究开发活动的仪器、设备的运行维护、调整、检验、检测、维修等费用，以及</w:t>
            </w:r>
            <w:r>
              <w:rPr>
                <w:rFonts w:hint="eastAsia" w:ascii="华文中宋" w:hAnsi="华文中宋" w:eastAsia="华文中宋" w:cs="宋体"/>
                <w:color w:val="FF0000"/>
                <w:sz w:val="24"/>
                <w:szCs w:val="24"/>
                <w:lang w:eastAsia="zh-CN"/>
              </w:rPr>
              <w:t>通过经营租赁方式租入的用于研发活动的固定资产租赁费。</w:t>
            </w:r>
          </w:p>
        </w:tc>
        <w:tc>
          <w:tcPr>
            <w:tcW w:w="3777" w:type="dxa"/>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用于研发活动的仪器、设备的运行维护、调整、检验、维修等费用，以及</w:t>
            </w:r>
            <w:r>
              <w:rPr>
                <w:rFonts w:hint="eastAsia" w:ascii="华文中宋" w:hAnsi="华文中宋" w:eastAsia="华文中宋" w:cs="宋体"/>
                <w:color w:val="FF0000"/>
                <w:sz w:val="24"/>
                <w:szCs w:val="24"/>
                <w:lang w:eastAsia="zh-CN"/>
              </w:rPr>
              <w:t>通过经营租赁方式租入的用于研发活动的仪器、设备租赁费。</w:t>
            </w:r>
          </w:p>
        </w:tc>
        <w:tc>
          <w:tcPr>
            <w:tcW w:w="3544" w:type="dxa"/>
            <w:shd w:val="clear" w:color="auto" w:fill="auto"/>
            <w:vAlign w:val="center"/>
          </w:tcPr>
          <w:p>
            <w:pPr>
              <w:widowControl/>
              <w:jc w:val="both"/>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用于研发活动的仪器、设备、房屋等固定资产的租赁费，设备调整及检验费，以及相关固定资产的运行维护、维修等费用。</w:t>
            </w:r>
          </w:p>
        </w:tc>
        <w:tc>
          <w:tcPr>
            <w:tcW w:w="1985" w:type="dxa"/>
            <w:vMerge w:val="continue"/>
            <w:vAlign w:val="center"/>
          </w:tcPr>
          <w:p>
            <w:pPr>
              <w:widowControl/>
              <w:rPr>
                <w:rFonts w:ascii="华文中宋" w:hAnsi="华文中宋" w:eastAsia="华文中宋" w:cs="宋体"/>
                <w:color w:val="FF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118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折旧费用与长期待摊费用</w:t>
            </w:r>
          </w:p>
        </w:tc>
        <w:tc>
          <w:tcPr>
            <w:tcW w:w="411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用于研究开发活动的</w:t>
            </w:r>
            <w:r>
              <w:rPr>
                <w:rFonts w:hint="eastAsia" w:ascii="华文中宋" w:hAnsi="华文中宋" w:eastAsia="华文中宋" w:cs="宋体"/>
                <w:color w:val="FF0000"/>
                <w:sz w:val="24"/>
                <w:szCs w:val="24"/>
                <w:lang w:eastAsia="zh-CN"/>
              </w:rPr>
              <w:t>仪器、设备和在用建筑物的折旧费</w:t>
            </w:r>
            <w:r>
              <w:rPr>
                <w:rFonts w:hint="eastAsia" w:ascii="华文中宋" w:hAnsi="华文中宋" w:eastAsia="华文中宋" w:cs="宋体"/>
                <w:color w:val="000000"/>
                <w:sz w:val="24"/>
                <w:szCs w:val="24"/>
                <w:lang w:eastAsia="zh-CN"/>
              </w:rPr>
              <w:t>。</w:t>
            </w:r>
            <w:r>
              <w:rPr>
                <w:rFonts w:hint="eastAsia" w:ascii="华文中宋" w:hAnsi="华文中宋" w:eastAsia="华文中宋" w:cs="宋体"/>
                <w:color w:val="000000"/>
                <w:sz w:val="24"/>
                <w:szCs w:val="24"/>
                <w:lang w:eastAsia="zh-CN"/>
              </w:rPr>
              <w:br w:type="textWrapping"/>
            </w:r>
            <w:r>
              <w:rPr>
                <w:rFonts w:hint="eastAsia" w:ascii="华文中宋" w:hAnsi="华文中宋" w:eastAsia="华文中宋" w:cs="宋体"/>
                <w:color w:val="000000"/>
                <w:sz w:val="24"/>
                <w:szCs w:val="24"/>
                <w:lang w:eastAsia="zh-CN"/>
              </w:rPr>
              <w:t>研发设施的改建、改装、装修和修理过程中发生的长期待摊费用。</w:t>
            </w:r>
          </w:p>
        </w:tc>
        <w:tc>
          <w:tcPr>
            <w:tcW w:w="3777" w:type="dxa"/>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用于研发活动的</w:t>
            </w:r>
            <w:r>
              <w:rPr>
                <w:rFonts w:hint="eastAsia" w:ascii="华文中宋" w:hAnsi="华文中宋" w:eastAsia="华文中宋" w:cs="宋体"/>
                <w:color w:val="FF0000"/>
                <w:sz w:val="24"/>
                <w:szCs w:val="24"/>
                <w:lang w:eastAsia="zh-CN"/>
              </w:rPr>
              <w:t>仪器、设备的折旧费。</w:t>
            </w:r>
          </w:p>
        </w:tc>
        <w:tc>
          <w:tcPr>
            <w:tcW w:w="3544"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用于研发活动的仪器、设备、房屋等固定资产的折旧费。</w:t>
            </w:r>
          </w:p>
        </w:tc>
        <w:tc>
          <w:tcPr>
            <w:tcW w:w="1985" w:type="dxa"/>
            <w:shd w:val="clear" w:color="auto" w:fill="auto"/>
            <w:vAlign w:val="center"/>
          </w:tcPr>
          <w:p>
            <w:pPr>
              <w:widowControl/>
              <w:rPr>
                <w:rFonts w:ascii="华文中宋" w:hAnsi="华文中宋" w:eastAsia="华文中宋" w:cs="宋体"/>
                <w:color w:val="FF0000"/>
                <w:sz w:val="24"/>
                <w:szCs w:val="24"/>
                <w:lang w:eastAsia="zh-CN"/>
              </w:rPr>
            </w:pPr>
            <w:r>
              <w:rPr>
                <w:rFonts w:hint="eastAsia" w:ascii="华文中宋" w:hAnsi="华文中宋" w:eastAsia="华文中宋" w:cs="宋体"/>
                <w:color w:val="FF0000"/>
                <w:sz w:val="24"/>
                <w:szCs w:val="24"/>
                <w:lang w:eastAsia="zh-CN"/>
              </w:rPr>
              <w:t>房屋折旧费不计入加计扣除范围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18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无形资产摊销费用</w:t>
            </w:r>
          </w:p>
        </w:tc>
        <w:tc>
          <w:tcPr>
            <w:tcW w:w="411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用于研究开发活动的软件、知识产权、非专利技术（专有技术、许可证、设计和计算方法等）的摊销费用。</w:t>
            </w:r>
          </w:p>
        </w:tc>
        <w:tc>
          <w:tcPr>
            <w:tcW w:w="3777" w:type="dxa"/>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用于研发活动的软件、专利权、非专利技术（包括许可证、专有技术、设计和计算方法等）的摊销费用。</w:t>
            </w:r>
          </w:p>
        </w:tc>
        <w:tc>
          <w:tcPr>
            <w:tcW w:w="3544"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用于研发活动的软件、专利权、非专利技术等无形资产的摊销费用。</w:t>
            </w:r>
          </w:p>
        </w:tc>
        <w:tc>
          <w:tcPr>
            <w:tcW w:w="1985"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18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设计试验等费用</w:t>
            </w:r>
          </w:p>
        </w:tc>
        <w:tc>
          <w:tcPr>
            <w:tcW w:w="411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符合条件的设计费用、装备调试费用、试验费用（包括新药研制的临床试验费、勘探开发技术的现场试验费、田间试验费等）</w:t>
            </w:r>
          </w:p>
        </w:tc>
        <w:tc>
          <w:tcPr>
            <w:tcW w:w="3777" w:type="dxa"/>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新产品设计、新工艺规程制定、新药研制的临床试验、勘探开发技术的现场试验费</w:t>
            </w:r>
          </w:p>
        </w:tc>
        <w:tc>
          <w:tcPr>
            <w:tcW w:w="3544"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　</w:t>
            </w:r>
          </w:p>
        </w:tc>
        <w:tc>
          <w:tcPr>
            <w:tcW w:w="1985"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118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其他相关费用</w:t>
            </w:r>
          </w:p>
        </w:tc>
        <w:tc>
          <w:tcPr>
            <w:tcW w:w="4110"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与研究开发活动直接相关的其他费用，包括技术图书资料费、资料翻译费、专家咨询费、高新科技研发保险费，研发成果的检索、论证、评审、鉴定、验收费用，知识产权的申请费、注册费、代理费，会议费、差旅费、通讯费等。此项费用一般不得超过研究开发总费用的</w:t>
            </w:r>
            <w:r>
              <w:rPr>
                <w:rFonts w:hint="eastAsia" w:ascii="华文中宋" w:hAnsi="华文中宋" w:eastAsia="华文中宋" w:cs="宋体"/>
                <w:color w:val="FF0000"/>
                <w:sz w:val="24"/>
                <w:szCs w:val="24"/>
                <w:lang w:eastAsia="zh-CN"/>
              </w:rPr>
              <w:t>20%</w:t>
            </w:r>
            <w:r>
              <w:rPr>
                <w:rFonts w:hint="eastAsia" w:ascii="华文中宋" w:hAnsi="华文中宋" w:eastAsia="华文中宋" w:cs="宋体"/>
                <w:color w:val="000000"/>
                <w:sz w:val="24"/>
                <w:szCs w:val="24"/>
                <w:lang w:eastAsia="zh-CN"/>
              </w:rPr>
              <w:t>，另有规定的除外。</w:t>
            </w:r>
          </w:p>
        </w:tc>
        <w:tc>
          <w:tcPr>
            <w:tcW w:w="3777" w:type="dxa"/>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与研发活动直接相关的其他费用，如技术图书资料费、资料翻译费、专家咨询费、高新科技研发保险费，研发成果的检索、分析、评议、论证、鉴定、评审、评估、验收费用，知识产权的申请费、注册费、代理费，差旅费、会议费，职工福利费、补充养老保险费、补充医疗保险费。</w:t>
            </w:r>
            <w:r>
              <w:rPr>
                <w:rFonts w:hint="eastAsia" w:ascii="华文中宋" w:hAnsi="华文中宋" w:eastAsia="华文中宋" w:cs="宋体"/>
                <w:color w:val="000000"/>
                <w:sz w:val="24"/>
                <w:szCs w:val="24"/>
                <w:lang w:eastAsia="zh-CN"/>
              </w:rPr>
              <w:br w:type="textWrapping"/>
            </w:r>
            <w:r>
              <w:rPr>
                <w:rFonts w:hint="eastAsia" w:ascii="华文中宋" w:hAnsi="华文中宋" w:eastAsia="华文中宋" w:cs="宋体"/>
                <w:color w:val="000000"/>
                <w:sz w:val="24"/>
                <w:szCs w:val="24"/>
                <w:lang w:eastAsia="zh-CN"/>
              </w:rPr>
              <w:t xml:space="preserve"> 　　此类费用总额不得超过可加计扣除研发费用总额的</w:t>
            </w:r>
            <w:r>
              <w:rPr>
                <w:rFonts w:hint="eastAsia" w:ascii="华文中宋" w:hAnsi="华文中宋" w:eastAsia="华文中宋" w:cs="宋体"/>
                <w:color w:val="FF0000"/>
                <w:sz w:val="24"/>
                <w:szCs w:val="24"/>
                <w:lang w:eastAsia="zh-CN"/>
              </w:rPr>
              <w:t>10%</w:t>
            </w:r>
            <w:r>
              <w:rPr>
                <w:rFonts w:hint="eastAsia" w:ascii="华文中宋" w:hAnsi="华文中宋" w:eastAsia="华文中宋" w:cs="宋体"/>
                <w:color w:val="000000"/>
                <w:sz w:val="24"/>
                <w:szCs w:val="24"/>
                <w:lang w:eastAsia="zh-CN"/>
              </w:rPr>
              <w:t>。</w:t>
            </w:r>
          </w:p>
        </w:tc>
        <w:tc>
          <w:tcPr>
            <w:tcW w:w="3544" w:type="dxa"/>
            <w:shd w:val="clear" w:color="auto" w:fill="auto"/>
            <w:vAlign w:val="center"/>
          </w:tcPr>
          <w:p>
            <w:pPr>
              <w:widowControl/>
              <w:rPr>
                <w:rFonts w:ascii="华文中宋" w:hAnsi="华文中宋" w:eastAsia="华文中宋" w:cs="宋体"/>
                <w:color w:val="000000"/>
                <w:sz w:val="24"/>
                <w:szCs w:val="24"/>
                <w:lang w:eastAsia="zh-CN"/>
              </w:rPr>
            </w:pPr>
            <w:r>
              <w:rPr>
                <w:rFonts w:hint="eastAsia" w:ascii="华文中宋" w:hAnsi="华文中宋" w:eastAsia="华文中宋" w:cs="宋体"/>
                <w:color w:val="000000"/>
                <w:sz w:val="24"/>
                <w:szCs w:val="24"/>
                <w:lang w:eastAsia="zh-CN"/>
              </w:rPr>
              <w:t>与研发活动直接相关的其他费用，包括技术图书资料费、资料翻译费、会议费、差旅费、办公费、外事费、研发人员培训费、培养费、专家咨询费、高新科技研发保险费用等。研发成果的论证、评审、验收、评估以及知识产权的申请费、注册费、代理费等费用。</w:t>
            </w:r>
          </w:p>
        </w:tc>
        <w:tc>
          <w:tcPr>
            <w:tcW w:w="1985" w:type="dxa"/>
            <w:shd w:val="clear" w:color="auto" w:fill="auto"/>
            <w:vAlign w:val="center"/>
          </w:tcPr>
          <w:p>
            <w:pPr>
              <w:widowControl/>
              <w:rPr>
                <w:rFonts w:ascii="华文中宋" w:hAnsi="华文中宋" w:eastAsia="华文中宋" w:cs="宋体"/>
                <w:color w:val="FF0000"/>
                <w:sz w:val="24"/>
                <w:szCs w:val="24"/>
                <w:lang w:eastAsia="zh-CN"/>
              </w:rPr>
            </w:pPr>
            <w:r>
              <w:rPr>
                <w:rFonts w:hint="eastAsia" w:ascii="华文中宋" w:hAnsi="华文中宋" w:eastAsia="华文中宋" w:cs="宋体"/>
                <w:color w:val="FF0000"/>
                <w:sz w:val="24"/>
                <w:szCs w:val="24"/>
                <w:lang w:eastAsia="zh-CN"/>
              </w:rPr>
              <w:t>加计扣除政策及高新研发费用范围中对其他相关费用总额有比例限制。</w:t>
            </w:r>
          </w:p>
        </w:tc>
      </w:tr>
    </w:tbl>
    <w:p>
      <w:pPr>
        <w:pStyle w:val="8"/>
        <w:spacing w:before="0" w:beforeAutospacing="0" w:after="0" w:afterAutospacing="0"/>
        <w:ind w:left="440" w:leftChars="200"/>
        <w:jc w:val="both"/>
        <w:rPr>
          <w:rFonts w:ascii="微软雅黑" w:hAnsi="微软雅黑" w:eastAsia="微软雅黑"/>
          <w:color w:val="333333"/>
          <w:spacing w:val="27"/>
          <w:sz w:val="28"/>
          <w:szCs w:val="32"/>
        </w:rPr>
      </w:pPr>
    </w:p>
    <w:p>
      <w:pPr>
        <w:pStyle w:val="8"/>
        <w:spacing w:before="0" w:beforeAutospacing="0" w:after="0" w:afterAutospacing="0"/>
        <w:jc w:val="both"/>
        <w:rPr>
          <w:rStyle w:val="14"/>
          <w:rFonts w:ascii="微软雅黑" w:hAnsi="微软雅黑" w:eastAsia="微软雅黑"/>
          <w:color w:val="215ACF"/>
          <w:spacing w:val="27"/>
          <w:sz w:val="28"/>
          <w:szCs w:val="32"/>
        </w:rPr>
        <w:sectPr>
          <w:pgSz w:w="16840" w:h="11910" w:orient="landscape"/>
          <w:pgMar w:top="1077" w:right="1418" w:bottom="1077" w:left="1021" w:header="720" w:footer="720" w:gutter="0"/>
          <w:pgNumType w:fmt="numberInDash"/>
          <w:cols w:space="720" w:num="1"/>
          <w:docGrid w:linePitch="299" w:charSpace="0"/>
        </w:sectPr>
      </w:pPr>
    </w:p>
    <w:p>
      <w:pPr>
        <w:pStyle w:val="8"/>
        <w:spacing w:before="0" w:beforeAutospacing="0" w:after="0" w:afterAutospacing="0"/>
        <w:jc w:val="both"/>
        <w:rPr>
          <w:rFonts w:ascii="微软雅黑" w:hAnsi="微软雅黑" w:eastAsia="微软雅黑"/>
          <w:color w:val="333333"/>
          <w:spacing w:val="27"/>
          <w:sz w:val="28"/>
          <w:szCs w:val="32"/>
        </w:rPr>
      </w:pPr>
      <w:r>
        <w:rPr>
          <w:rStyle w:val="14"/>
          <w:rFonts w:hint="eastAsia" w:ascii="微软雅黑" w:hAnsi="微软雅黑" w:eastAsia="微软雅黑"/>
          <w:color w:val="215ACF"/>
          <w:spacing w:val="27"/>
          <w:sz w:val="28"/>
          <w:szCs w:val="32"/>
        </w:rPr>
        <w:t>五、企业创新能力评价：</w:t>
      </w:r>
    </w:p>
    <w:p>
      <w:pPr>
        <w:pStyle w:val="8"/>
        <w:spacing w:before="0" w:beforeAutospacing="0" w:after="0" w:afterAutospacing="0"/>
        <w:ind w:left="440" w:leftChars="200"/>
        <w:jc w:val="both"/>
        <w:rPr>
          <w:rFonts w:hAnsi="微软雅黑"/>
          <w:b/>
          <w:sz w:val="36"/>
          <w:szCs w:val="36"/>
        </w:rPr>
      </w:pPr>
      <w:r>
        <mc:AlternateContent>
          <mc:Choice Requires="wps">
            <w:drawing>
              <wp:anchor distT="0" distB="0" distL="114300" distR="114300" simplePos="0" relativeHeight="251665408" behindDoc="0" locked="0" layoutInCell="1" allowOverlap="1">
                <wp:simplePos x="0" y="0"/>
                <wp:positionH relativeFrom="page">
                  <wp:posOffset>694690</wp:posOffset>
                </wp:positionH>
                <wp:positionV relativeFrom="paragraph">
                  <wp:posOffset>4920615</wp:posOffset>
                </wp:positionV>
                <wp:extent cx="6248400" cy="1108075"/>
                <wp:effectExtent l="0" t="0" r="0" b="0"/>
                <wp:wrapNone/>
                <wp:docPr id="1408792905" name="文本框 1"/>
                <wp:cNvGraphicFramePr>
                  <a:graphicFrameLocks xmlns:a="http://schemas.openxmlformats.org/drawingml/2006/main" noGrp="true"/>
                </wp:cNvGraphicFramePr>
                <a:graphic xmlns:a="http://schemas.openxmlformats.org/drawingml/2006/main">
                  <a:graphicData uri="http://schemas.microsoft.com/office/word/2010/wordprocessingShape">
                    <wps:wsp>
                      <wps:cNvSpPr txBox="true">
                        <a:spLocks noGrp="true"/>
                      </wps:cNvSpPr>
                      <wps:spPr bwMode="auto">
                        <a:xfrm>
                          <a:off x="0" y="0"/>
                          <a:ext cx="6248400" cy="1108075"/>
                        </a:xfrm>
                        <a:prstGeom prst="rect">
                          <a:avLst/>
                        </a:prstGeom>
                        <a:noFill/>
                        <a:ln w="9525">
                          <a:noFill/>
                          <a:miter lim="800000"/>
                        </a:ln>
                      </wps:spPr>
                      <wps:txbx>
                        <w:txbxContent>
                          <w:p>
                            <w:pPr>
                              <w:pStyle w:val="19"/>
                              <w:widowControl/>
                              <w:numPr>
                                <w:ilvl w:val="0"/>
                                <w:numId w:val="1"/>
                              </w:numPr>
                              <w:tabs>
                                <w:tab w:val="left" w:pos="1289"/>
                              </w:tabs>
                              <w:kinsoku w:val="0"/>
                              <w:overflowPunct w:val="0"/>
                              <w:spacing w:line="261" w:lineRule="auto"/>
                              <w:textAlignment w:val="baseline"/>
                              <w:rPr>
                                <w:rFonts w:ascii="Times New Roman" w:eastAsia="楷体_GB2312" w:cs="+mn-cs"/>
                                <w:b/>
                                <w:bCs/>
                                <w:color w:val="000000"/>
                                <w:spacing w:val="-6"/>
                                <w:kern w:val="2"/>
                                <w:sz w:val="20"/>
                                <w:szCs w:val="20"/>
                                <w:lang w:eastAsia="zh-CN"/>
                              </w:rPr>
                            </w:pPr>
                            <w:r>
                              <w:rPr>
                                <w:rFonts w:hint="eastAsia" w:ascii="微软雅黑" w:hAnsi="微软雅黑" w:eastAsia="微软雅黑" w:cs="微软雅黑"/>
                                <w:b/>
                                <w:bCs/>
                                <w:color w:val="000000"/>
                                <w:spacing w:val="23"/>
                                <w:kern w:val="24"/>
                                <w:sz w:val="20"/>
                                <w:szCs w:val="20"/>
                                <w:lang w:eastAsia="zh-CN"/>
                              </w:rPr>
                              <w:t>净资产增长率&amp;销售收入增长率：</w:t>
                            </w:r>
                            <w:r>
                              <w:rPr>
                                <w:rFonts w:hint="eastAsia" w:ascii="Times New Roman" w:eastAsia="楷体_GB2312" w:cs="+mn-cs"/>
                                <w:b/>
                                <w:bCs/>
                                <w:color w:val="000000"/>
                                <w:spacing w:val="-6"/>
                                <w:kern w:val="2"/>
                                <w:sz w:val="20"/>
                                <w:szCs w:val="20"/>
                                <w:u w:val="single"/>
                                <w:lang w:eastAsia="zh-CN"/>
                              </w:rPr>
                              <w:t>（第二年数据÷第一年数据＋第三年数据÷第二年数据）÷2－</w:t>
                            </w:r>
                            <w:r>
                              <w:rPr>
                                <w:rFonts w:ascii="Times New Roman" w:hAnsi="Times New Roman" w:eastAsia="楷体_GB2312" w:cs="+mn-cs"/>
                                <w:b/>
                                <w:bCs/>
                                <w:color w:val="000000"/>
                                <w:spacing w:val="-6"/>
                                <w:kern w:val="2"/>
                                <w:sz w:val="20"/>
                                <w:szCs w:val="20"/>
                                <w:u w:val="single"/>
                                <w:lang w:eastAsia="zh-CN"/>
                              </w:rPr>
                              <w:t>1</w:t>
                            </w:r>
                            <w:r>
                              <w:rPr>
                                <w:rFonts w:hint="eastAsia" w:ascii="Times New Roman" w:eastAsia="楷体_GB2312" w:cs="+mn-cs"/>
                                <w:b/>
                                <w:bCs/>
                                <w:color w:val="000000"/>
                                <w:spacing w:val="-6"/>
                                <w:kern w:val="2"/>
                                <w:sz w:val="20"/>
                                <w:szCs w:val="20"/>
                                <w:u w:val="single"/>
                                <w:lang w:eastAsia="zh-CN"/>
                              </w:rPr>
                              <w:t>。</w:t>
                            </w:r>
                          </w:p>
                          <w:p>
                            <w:pPr>
                              <w:pStyle w:val="19"/>
                              <w:widowControl/>
                              <w:numPr>
                                <w:ilvl w:val="1"/>
                                <w:numId w:val="1"/>
                              </w:numPr>
                              <w:tabs>
                                <w:tab w:val="left" w:pos="1430"/>
                                <w:tab w:val="clear" w:pos="1440"/>
                              </w:tabs>
                              <w:kinsoku w:val="0"/>
                              <w:overflowPunct w:val="0"/>
                              <w:textAlignment w:val="baseline"/>
                              <w:rPr>
                                <w:rFonts w:ascii="微软雅黑" w:hAnsi="微软雅黑" w:eastAsia="微软雅黑" w:cs="微软雅黑"/>
                                <w:b/>
                                <w:bCs/>
                                <w:color w:val="000000"/>
                                <w:spacing w:val="23"/>
                                <w:kern w:val="24"/>
                                <w:sz w:val="20"/>
                                <w:szCs w:val="20"/>
                                <w:lang w:eastAsia="zh-CN"/>
                              </w:rPr>
                            </w:pPr>
                            <w:r>
                              <w:rPr>
                                <w:rFonts w:hint="eastAsia" w:ascii="微软雅黑" w:hAnsi="微软雅黑" w:eastAsia="微软雅黑" w:cs="微软雅黑"/>
                                <w:b/>
                                <w:bCs/>
                                <w:color w:val="000000"/>
                                <w:spacing w:val="23"/>
                                <w:kern w:val="24"/>
                                <w:sz w:val="20"/>
                                <w:szCs w:val="20"/>
                                <w:lang w:eastAsia="zh-CN"/>
                              </w:rPr>
                              <w:t>企业实际经营期不满三年的按实际经营时间(会计年度)计算。</w:t>
                            </w:r>
                          </w:p>
                          <w:p>
                            <w:pPr>
                              <w:pStyle w:val="19"/>
                              <w:widowControl/>
                              <w:numPr>
                                <w:ilvl w:val="1"/>
                                <w:numId w:val="1"/>
                              </w:numPr>
                              <w:kinsoku w:val="0"/>
                              <w:overflowPunct w:val="0"/>
                              <w:textAlignment w:val="baseline"/>
                              <w:rPr>
                                <w:rFonts w:ascii="微软雅黑" w:hAnsi="微软雅黑" w:eastAsia="微软雅黑" w:cs="微软雅黑"/>
                                <w:b/>
                                <w:bCs/>
                                <w:color w:val="000000"/>
                                <w:spacing w:val="23"/>
                                <w:kern w:val="24"/>
                                <w:sz w:val="20"/>
                                <w:szCs w:val="20"/>
                                <w:lang w:eastAsia="zh-CN"/>
                              </w:rPr>
                            </w:pPr>
                            <w:r>
                              <w:rPr>
                                <w:rFonts w:hint="eastAsia" w:ascii="微软雅黑" w:hAnsi="微软雅黑" w:eastAsia="微软雅黑" w:cs="微软雅黑"/>
                                <w:b/>
                                <w:bCs/>
                                <w:color w:val="000000"/>
                                <w:spacing w:val="23"/>
                                <w:kern w:val="24"/>
                                <w:sz w:val="20"/>
                                <w:szCs w:val="20"/>
                                <w:lang w:eastAsia="zh-CN"/>
                              </w:rPr>
                              <w:t>增长率为负的，按0分计算；</w:t>
                            </w:r>
                          </w:p>
                          <w:p>
                            <w:pPr>
                              <w:pStyle w:val="19"/>
                              <w:widowControl/>
                              <w:numPr>
                                <w:ilvl w:val="1"/>
                                <w:numId w:val="1"/>
                              </w:numPr>
                              <w:kinsoku w:val="0"/>
                              <w:overflowPunct w:val="0"/>
                              <w:textAlignment w:val="baseline"/>
                              <w:rPr>
                                <w:rFonts w:ascii="微软雅黑" w:hAnsi="微软雅黑" w:eastAsia="微软雅黑" w:cs="微软雅黑"/>
                                <w:b/>
                                <w:bCs/>
                                <w:color w:val="000000"/>
                                <w:spacing w:val="23"/>
                                <w:kern w:val="24"/>
                                <w:sz w:val="20"/>
                                <w:szCs w:val="20"/>
                                <w:lang w:eastAsia="zh-CN"/>
                              </w:rPr>
                            </w:pPr>
                            <w:r>
                              <w:rPr>
                                <w:rFonts w:hint="eastAsia" w:ascii="微软雅黑" w:hAnsi="微软雅黑" w:eastAsia="微软雅黑" w:cs="微软雅黑"/>
                                <w:b/>
                                <w:bCs/>
                                <w:color w:val="000000"/>
                                <w:spacing w:val="23"/>
                                <w:kern w:val="24"/>
                                <w:sz w:val="20"/>
                                <w:szCs w:val="20"/>
                                <w:lang w:eastAsia="zh-CN"/>
                              </w:rPr>
                              <w:t>第一年末净资产或销售收入为0的，增长率按后两年计算 ；</w:t>
                            </w:r>
                          </w:p>
                          <w:p>
                            <w:pPr>
                              <w:pStyle w:val="19"/>
                              <w:widowControl/>
                              <w:numPr>
                                <w:ilvl w:val="1"/>
                                <w:numId w:val="1"/>
                              </w:numPr>
                              <w:tabs>
                                <w:tab w:val="left" w:pos="1430"/>
                                <w:tab w:val="clear" w:pos="1440"/>
                              </w:tabs>
                              <w:kinsoku w:val="0"/>
                              <w:overflowPunct w:val="0"/>
                              <w:textAlignment w:val="baseline"/>
                              <w:rPr>
                                <w:lang w:eastAsia="zh-CN"/>
                              </w:rPr>
                            </w:pPr>
                            <w:r>
                              <w:rPr>
                                <w:rFonts w:hint="eastAsia" w:ascii="微软雅黑" w:hAnsi="微软雅黑" w:eastAsia="微软雅黑" w:cs="微软雅黑"/>
                                <w:b/>
                                <w:bCs/>
                                <w:color w:val="000000"/>
                                <w:spacing w:val="23"/>
                                <w:kern w:val="24"/>
                                <w:sz w:val="20"/>
                                <w:szCs w:val="20"/>
                                <w:lang w:eastAsia="zh-CN"/>
                              </w:rPr>
                              <w:t>第二年末净资产或销售收入为0的，增长率按0分计算。</w:t>
                            </w:r>
                          </w:p>
                        </w:txbxContent>
                      </wps:txbx>
                      <wps:bodyPr vert="horz" wrap="square" lIns="0" tIns="0" rIns="0" bIns="0" numCol="1" rtlCol="0" anchor="t" anchorCtr="false" compatLnSpc="true">
                        <a:spAutoFit/>
                      </wps:bodyPr>
                    </wps:wsp>
                  </a:graphicData>
                </a:graphic>
              </wp:anchor>
            </w:drawing>
          </mc:Choice>
          <mc:Fallback>
            <w:pict>
              <v:shape id="文本框 1" o:spid="_x0000_s1026" o:spt="202" type="#_x0000_t202" style="position:absolute;left:0pt;margin-left:54.7pt;margin-top:387.45pt;height:87.25pt;width:492pt;mso-position-horizontal-relative:page;z-index:251665408;mso-width-relative:page;mso-height-relative:page;" filled="f" stroked="f" coordsize="21600,21600" o:gfxdata="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83O551wAAAAwBAAAPAAAAAAAAAAEAIAAAADgAAABkcnMvZG93bnJldi54bWxQSwECFAAU&#10;AAAACACHTuJAmBz09hUCAADzAwAADgAAAAAAAAABACAAAAA8AQAAZHJzL2Uyb0RvYy54bWxQSwUG&#10;AAAAAAYABgBZAQAAwwUAAAAA&#10;">
                <v:fill on="f" focussize="0,0"/>
                <v:stroke on="f" miterlimit="8" joinstyle="miter"/>
                <v:imagedata o:title=""/>
                <o:lock v:ext="edit" grouping="t" aspectratio="f"/>
                <v:textbox inset="0mm,0mm,0mm,0mm" style="mso-fit-shape-to-text:t;">
                  <w:txbxContent>
                    <w:p>
                      <w:pPr>
                        <w:pStyle w:val="19"/>
                        <w:widowControl/>
                        <w:numPr>
                          <w:ilvl w:val="0"/>
                          <w:numId w:val="1"/>
                        </w:numPr>
                        <w:tabs>
                          <w:tab w:val="left" w:pos="1289"/>
                        </w:tabs>
                        <w:kinsoku w:val="0"/>
                        <w:overflowPunct w:val="0"/>
                        <w:spacing w:line="261" w:lineRule="auto"/>
                        <w:textAlignment w:val="baseline"/>
                        <w:rPr>
                          <w:rFonts w:ascii="Times New Roman" w:eastAsia="楷体_GB2312" w:cs="+mn-cs"/>
                          <w:b/>
                          <w:bCs/>
                          <w:color w:val="000000"/>
                          <w:spacing w:val="-6"/>
                          <w:kern w:val="2"/>
                          <w:sz w:val="20"/>
                          <w:szCs w:val="20"/>
                          <w:lang w:eastAsia="zh-CN"/>
                        </w:rPr>
                      </w:pPr>
                      <w:r>
                        <w:rPr>
                          <w:rFonts w:hint="eastAsia" w:ascii="微软雅黑" w:hAnsi="微软雅黑" w:eastAsia="微软雅黑" w:cs="微软雅黑"/>
                          <w:b/>
                          <w:bCs/>
                          <w:color w:val="000000"/>
                          <w:spacing w:val="23"/>
                          <w:kern w:val="24"/>
                          <w:sz w:val="20"/>
                          <w:szCs w:val="20"/>
                          <w:lang w:eastAsia="zh-CN"/>
                        </w:rPr>
                        <w:t>净资产增长率&amp;销售收入增长率：</w:t>
                      </w:r>
                      <w:r>
                        <w:rPr>
                          <w:rFonts w:hint="eastAsia" w:ascii="Times New Roman" w:eastAsia="楷体_GB2312" w:cs="+mn-cs"/>
                          <w:b/>
                          <w:bCs/>
                          <w:color w:val="000000"/>
                          <w:spacing w:val="-6"/>
                          <w:kern w:val="2"/>
                          <w:sz w:val="20"/>
                          <w:szCs w:val="20"/>
                          <w:u w:val="single"/>
                          <w:lang w:eastAsia="zh-CN"/>
                        </w:rPr>
                        <w:t>（第二年数据÷第一年数据＋第三年数据÷第二年数据）÷2－</w:t>
                      </w:r>
                      <w:r>
                        <w:rPr>
                          <w:rFonts w:ascii="Times New Roman" w:hAnsi="Times New Roman" w:eastAsia="楷体_GB2312" w:cs="+mn-cs"/>
                          <w:b/>
                          <w:bCs/>
                          <w:color w:val="000000"/>
                          <w:spacing w:val="-6"/>
                          <w:kern w:val="2"/>
                          <w:sz w:val="20"/>
                          <w:szCs w:val="20"/>
                          <w:u w:val="single"/>
                          <w:lang w:eastAsia="zh-CN"/>
                        </w:rPr>
                        <w:t>1</w:t>
                      </w:r>
                      <w:r>
                        <w:rPr>
                          <w:rFonts w:hint="eastAsia" w:ascii="Times New Roman" w:eastAsia="楷体_GB2312" w:cs="+mn-cs"/>
                          <w:b/>
                          <w:bCs/>
                          <w:color w:val="000000"/>
                          <w:spacing w:val="-6"/>
                          <w:kern w:val="2"/>
                          <w:sz w:val="20"/>
                          <w:szCs w:val="20"/>
                          <w:u w:val="single"/>
                          <w:lang w:eastAsia="zh-CN"/>
                        </w:rPr>
                        <w:t>。</w:t>
                      </w:r>
                    </w:p>
                    <w:p>
                      <w:pPr>
                        <w:pStyle w:val="19"/>
                        <w:widowControl/>
                        <w:numPr>
                          <w:ilvl w:val="1"/>
                          <w:numId w:val="1"/>
                        </w:numPr>
                        <w:tabs>
                          <w:tab w:val="left" w:pos="1430"/>
                          <w:tab w:val="clear" w:pos="1440"/>
                        </w:tabs>
                        <w:kinsoku w:val="0"/>
                        <w:overflowPunct w:val="0"/>
                        <w:textAlignment w:val="baseline"/>
                        <w:rPr>
                          <w:rFonts w:ascii="微软雅黑" w:hAnsi="微软雅黑" w:eastAsia="微软雅黑" w:cs="微软雅黑"/>
                          <w:b/>
                          <w:bCs/>
                          <w:color w:val="000000"/>
                          <w:spacing w:val="23"/>
                          <w:kern w:val="24"/>
                          <w:sz w:val="20"/>
                          <w:szCs w:val="20"/>
                          <w:lang w:eastAsia="zh-CN"/>
                        </w:rPr>
                      </w:pPr>
                      <w:r>
                        <w:rPr>
                          <w:rFonts w:hint="eastAsia" w:ascii="微软雅黑" w:hAnsi="微软雅黑" w:eastAsia="微软雅黑" w:cs="微软雅黑"/>
                          <w:b/>
                          <w:bCs/>
                          <w:color w:val="000000"/>
                          <w:spacing w:val="23"/>
                          <w:kern w:val="24"/>
                          <w:sz w:val="20"/>
                          <w:szCs w:val="20"/>
                          <w:lang w:eastAsia="zh-CN"/>
                        </w:rPr>
                        <w:t>企业实际经营期不满三年的按实际经营时间(会计年度)计算。</w:t>
                      </w:r>
                    </w:p>
                    <w:p>
                      <w:pPr>
                        <w:pStyle w:val="19"/>
                        <w:widowControl/>
                        <w:numPr>
                          <w:ilvl w:val="1"/>
                          <w:numId w:val="1"/>
                        </w:numPr>
                        <w:kinsoku w:val="0"/>
                        <w:overflowPunct w:val="0"/>
                        <w:textAlignment w:val="baseline"/>
                        <w:rPr>
                          <w:rFonts w:ascii="微软雅黑" w:hAnsi="微软雅黑" w:eastAsia="微软雅黑" w:cs="微软雅黑"/>
                          <w:b/>
                          <w:bCs/>
                          <w:color w:val="000000"/>
                          <w:spacing w:val="23"/>
                          <w:kern w:val="24"/>
                          <w:sz w:val="20"/>
                          <w:szCs w:val="20"/>
                          <w:lang w:eastAsia="zh-CN"/>
                        </w:rPr>
                      </w:pPr>
                      <w:r>
                        <w:rPr>
                          <w:rFonts w:hint="eastAsia" w:ascii="微软雅黑" w:hAnsi="微软雅黑" w:eastAsia="微软雅黑" w:cs="微软雅黑"/>
                          <w:b/>
                          <w:bCs/>
                          <w:color w:val="000000"/>
                          <w:spacing w:val="23"/>
                          <w:kern w:val="24"/>
                          <w:sz w:val="20"/>
                          <w:szCs w:val="20"/>
                          <w:lang w:eastAsia="zh-CN"/>
                        </w:rPr>
                        <w:t>增长率为负的，按0分计算；</w:t>
                      </w:r>
                    </w:p>
                    <w:p>
                      <w:pPr>
                        <w:pStyle w:val="19"/>
                        <w:widowControl/>
                        <w:numPr>
                          <w:ilvl w:val="1"/>
                          <w:numId w:val="1"/>
                        </w:numPr>
                        <w:kinsoku w:val="0"/>
                        <w:overflowPunct w:val="0"/>
                        <w:textAlignment w:val="baseline"/>
                        <w:rPr>
                          <w:rFonts w:ascii="微软雅黑" w:hAnsi="微软雅黑" w:eastAsia="微软雅黑" w:cs="微软雅黑"/>
                          <w:b/>
                          <w:bCs/>
                          <w:color w:val="000000"/>
                          <w:spacing w:val="23"/>
                          <w:kern w:val="24"/>
                          <w:sz w:val="20"/>
                          <w:szCs w:val="20"/>
                          <w:lang w:eastAsia="zh-CN"/>
                        </w:rPr>
                      </w:pPr>
                      <w:r>
                        <w:rPr>
                          <w:rFonts w:hint="eastAsia" w:ascii="微软雅黑" w:hAnsi="微软雅黑" w:eastAsia="微软雅黑" w:cs="微软雅黑"/>
                          <w:b/>
                          <w:bCs/>
                          <w:color w:val="000000"/>
                          <w:spacing w:val="23"/>
                          <w:kern w:val="24"/>
                          <w:sz w:val="20"/>
                          <w:szCs w:val="20"/>
                          <w:lang w:eastAsia="zh-CN"/>
                        </w:rPr>
                        <w:t>第一年末净资产或销售收入为0的，增长率按后两年计算 ；</w:t>
                      </w:r>
                    </w:p>
                    <w:p>
                      <w:pPr>
                        <w:pStyle w:val="19"/>
                        <w:widowControl/>
                        <w:numPr>
                          <w:ilvl w:val="1"/>
                          <w:numId w:val="1"/>
                        </w:numPr>
                        <w:tabs>
                          <w:tab w:val="left" w:pos="1430"/>
                          <w:tab w:val="clear" w:pos="1440"/>
                        </w:tabs>
                        <w:kinsoku w:val="0"/>
                        <w:overflowPunct w:val="0"/>
                        <w:textAlignment w:val="baseline"/>
                        <w:rPr>
                          <w:lang w:eastAsia="zh-CN"/>
                        </w:rPr>
                      </w:pPr>
                      <w:r>
                        <w:rPr>
                          <w:rFonts w:hint="eastAsia" w:ascii="微软雅黑" w:hAnsi="微软雅黑" w:eastAsia="微软雅黑" w:cs="微软雅黑"/>
                          <w:b/>
                          <w:bCs/>
                          <w:color w:val="000000"/>
                          <w:spacing w:val="23"/>
                          <w:kern w:val="24"/>
                          <w:sz w:val="20"/>
                          <w:szCs w:val="20"/>
                          <w:lang w:eastAsia="zh-CN"/>
                        </w:rPr>
                        <w:t>第二年末净资产或销售收入为0的，增长率按0分计算。</w:t>
                      </w:r>
                    </w:p>
                  </w:txbxContent>
                </v:textbox>
              </v:shape>
            </w:pict>
          </mc:Fallback>
        </mc:AlternateContent>
      </w:r>
      <w:r>
        <w:rPr>
          <w:rFonts w:hint="eastAsia" w:ascii="微软雅黑" w:hAnsi="微软雅黑" w:eastAsia="微软雅黑"/>
          <w:color w:val="333333"/>
          <w:spacing w:val="27"/>
          <w:sz w:val="28"/>
          <w:szCs w:val="32"/>
        </w:rPr>
        <w:t>高新技术企业认定条件第七项</w:t>
      </w:r>
      <w:r>
        <w:rPr>
          <w:rFonts w:hint="eastAsia" w:ascii="微软雅黑" w:hAnsi="微软雅黑" w:eastAsia="微软雅黑"/>
          <w:b/>
          <w:bCs/>
          <w:sz w:val="28"/>
          <w:szCs w:val="28"/>
        </w:rPr>
        <w:t>创新能力评价</w:t>
      </w:r>
      <w:r>
        <w:rPr>
          <w:rFonts w:hint="eastAsia" w:ascii="微软雅黑" w:hAnsi="微软雅黑" w:eastAsia="微软雅黑"/>
          <w:color w:val="333333"/>
          <w:spacing w:val="27"/>
          <w:sz w:val="28"/>
          <w:szCs w:val="32"/>
        </w:rPr>
        <w:t>评分指标如下</w:t>
      </w:r>
      <w:r>
        <w:rPr>
          <w:rStyle w:val="14"/>
          <w:rFonts w:hint="eastAsia" w:ascii="微软雅黑" w:hAnsi="微软雅黑" w:eastAsia="微软雅黑"/>
          <w:color w:val="333333"/>
          <w:spacing w:val="27"/>
          <w:sz w:val="28"/>
          <w:szCs w:val="32"/>
        </w:rPr>
        <w:t>：</w:t>
      </w:r>
    </w:p>
    <w:tbl>
      <w:tblPr>
        <w:tblStyle w:val="9"/>
        <w:tblW w:w="14512" w:type="dxa"/>
        <w:tblInd w:w="108" w:type="dxa"/>
        <w:tblLayout w:type="autofit"/>
        <w:tblCellMar>
          <w:top w:w="0" w:type="dxa"/>
          <w:left w:w="108" w:type="dxa"/>
          <w:bottom w:w="0" w:type="dxa"/>
          <w:right w:w="108" w:type="dxa"/>
        </w:tblCellMar>
      </w:tblPr>
      <w:tblGrid>
        <w:gridCol w:w="1872"/>
        <w:gridCol w:w="2835"/>
        <w:gridCol w:w="2551"/>
        <w:gridCol w:w="2268"/>
        <w:gridCol w:w="1701"/>
        <w:gridCol w:w="1701"/>
        <w:gridCol w:w="1584"/>
      </w:tblGrid>
      <w:tr>
        <w:tblPrEx>
          <w:tblCellMar>
            <w:top w:w="0" w:type="dxa"/>
            <w:left w:w="108" w:type="dxa"/>
            <w:bottom w:w="0" w:type="dxa"/>
            <w:right w:w="108" w:type="dxa"/>
          </w:tblCellMar>
        </w:tblPrEx>
        <w:trPr>
          <w:trHeight w:val="330" w:hRule="atLeast"/>
        </w:trPr>
        <w:tc>
          <w:tcPr>
            <w:tcW w:w="1872" w:type="dxa"/>
            <w:tcBorders>
              <w:top w:val="single" w:color="auto" w:sz="4" w:space="0"/>
              <w:left w:val="single" w:color="auto" w:sz="4" w:space="0"/>
              <w:bottom w:val="nil"/>
              <w:right w:val="single" w:color="000000" w:sz="4" w:space="0"/>
            </w:tcBorders>
            <w:shd w:val="clear" w:color="000000" w:fill="FFFFFF"/>
          </w:tcPr>
          <w:p>
            <w:pPr>
              <w:widowControl/>
              <w:jc w:val="center"/>
              <w:rPr>
                <w:rFonts w:ascii="黑体" w:hAnsi="黑体" w:eastAsia="黑体" w:cs="宋体"/>
                <w:color w:val="000000"/>
                <w:sz w:val="24"/>
                <w:szCs w:val="24"/>
                <w:lang w:eastAsia="zh-CN"/>
              </w:rPr>
            </w:pPr>
            <w:r>
              <w:rPr>
                <w:rFonts w:hint="eastAsia" w:ascii="黑体" w:hAnsi="黑体" w:eastAsia="黑体" w:cs="宋体"/>
                <w:b/>
                <w:bCs/>
                <w:color w:val="000000"/>
                <w:sz w:val="24"/>
                <w:szCs w:val="24"/>
              </w:rPr>
              <w:t>指标（分值）</w:t>
            </w:r>
          </w:p>
        </w:tc>
        <w:tc>
          <w:tcPr>
            <w:tcW w:w="2835" w:type="dxa"/>
            <w:tcBorders>
              <w:top w:val="single" w:color="auto" w:sz="4" w:space="0"/>
              <w:left w:val="single" w:color="auto" w:sz="4" w:space="0"/>
              <w:bottom w:val="nil"/>
              <w:right w:val="single" w:color="000000" w:sz="4" w:space="0"/>
            </w:tcBorders>
            <w:shd w:val="clear" w:color="000000" w:fill="FFFFFF"/>
            <w:vAlign w:val="center"/>
          </w:tcPr>
          <w:p>
            <w:pPr>
              <w:widowControl/>
              <w:jc w:val="center"/>
              <w:rPr>
                <w:rFonts w:ascii="黑体" w:hAnsi="黑体" w:eastAsia="黑体" w:cs="宋体"/>
                <w:b/>
                <w:bCs/>
                <w:color w:val="000000"/>
                <w:sz w:val="24"/>
                <w:szCs w:val="24"/>
              </w:rPr>
            </w:pPr>
            <w:r>
              <w:rPr>
                <w:rFonts w:hint="eastAsia" w:ascii="黑体" w:hAnsi="黑体" w:eastAsia="黑体" w:cs="宋体"/>
                <w:b/>
                <w:bCs/>
                <w:color w:val="000000"/>
                <w:sz w:val="24"/>
                <w:szCs w:val="24"/>
              </w:rPr>
              <w:t>评价项</w:t>
            </w:r>
          </w:p>
        </w:tc>
        <w:tc>
          <w:tcPr>
            <w:tcW w:w="255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A</w:t>
            </w:r>
            <w:r>
              <w:rPr>
                <w:rFonts w:hint="eastAsia" w:ascii="微软雅黑" w:hAnsi="微软雅黑" w:eastAsia="微软雅黑" w:cs="宋体"/>
                <w:b/>
                <w:bCs/>
                <w:color w:val="000000"/>
                <w:lang w:eastAsia="zh-CN"/>
              </w:rPr>
              <w:t>档分数</w:t>
            </w:r>
          </w:p>
        </w:tc>
        <w:tc>
          <w:tcPr>
            <w:tcW w:w="2268"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B</w:t>
            </w:r>
            <w:r>
              <w:rPr>
                <w:rFonts w:hint="eastAsia" w:ascii="微软雅黑" w:hAnsi="微软雅黑" w:eastAsia="微软雅黑" w:cs="宋体"/>
                <w:b/>
                <w:bCs/>
                <w:color w:val="000000"/>
                <w:lang w:eastAsia="zh-CN"/>
              </w:rPr>
              <w:t>档分数</w:t>
            </w:r>
          </w:p>
        </w:tc>
        <w:tc>
          <w:tcPr>
            <w:tcW w:w="170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C</w:t>
            </w:r>
            <w:r>
              <w:rPr>
                <w:rFonts w:hint="eastAsia" w:ascii="微软雅黑" w:hAnsi="微软雅黑" w:eastAsia="微软雅黑" w:cs="宋体"/>
                <w:b/>
                <w:bCs/>
                <w:color w:val="000000"/>
                <w:lang w:eastAsia="zh-CN"/>
              </w:rPr>
              <w:t>档分数</w:t>
            </w:r>
          </w:p>
        </w:tc>
        <w:tc>
          <w:tcPr>
            <w:tcW w:w="1701"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D</w:t>
            </w:r>
            <w:r>
              <w:rPr>
                <w:rFonts w:hint="eastAsia" w:ascii="微软雅黑" w:hAnsi="微软雅黑" w:eastAsia="微软雅黑" w:cs="宋体"/>
                <w:b/>
                <w:bCs/>
                <w:color w:val="000000"/>
                <w:lang w:eastAsia="zh-CN"/>
              </w:rPr>
              <w:t>档分数</w:t>
            </w:r>
          </w:p>
        </w:tc>
        <w:tc>
          <w:tcPr>
            <w:tcW w:w="158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E</w:t>
            </w:r>
            <w:r>
              <w:rPr>
                <w:rFonts w:hint="eastAsia" w:ascii="微软雅黑" w:hAnsi="微软雅黑" w:eastAsia="微软雅黑" w:cs="宋体"/>
                <w:b/>
                <w:bCs/>
                <w:color w:val="000000"/>
                <w:lang w:eastAsia="zh-CN"/>
              </w:rPr>
              <w:t>档分数</w:t>
            </w:r>
          </w:p>
        </w:tc>
      </w:tr>
      <w:tr>
        <w:tblPrEx>
          <w:tblCellMar>
            <w:top w:w="0" w:type="dxa"/>
            <w:left w:w="108" w:type="dxa"/>
            <w:bottom w:w="0" w:type="dxa"/>
            <w:right w:w="108" w:type="dxa"/>
          </w:tblCellMar>
        </w:tblPrEx>
        <w:trPr>
          <w:trHeight w:val="330" w:hRule="atLeast"/>
        </w:trPr>
        <w:tc>
          <w:tcPr>
            <w:tcW w:w="1872"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知识产权</w:t>
            </w:r>
            <w:r>
              <w:rPr>
                <w:rFonts w:ascii="微软雅黑" w:hAnsi="微软雅黑" w:eastAsia="微软雅黑" w:cs="宋体"/>
                <w:b/>
                <w:bCs/>
                <w:color w:val="000000"/>
              </w:rPr>
              <w:br w:type="textWrapping"/>
            </w:r>
            <w:r>
              <w:rPr>
                <w:rFonts w:hint="eastAsia" w:ascii="微软雅黑" w:hAnsi="微软雅黑" w:eastAsia="微软雅黑" w:cs="宋体"/>
                <w:b/>
                <w:bCs/>
                <w:color w:val="000000"/>
              </w:rPr>
              <w:t>(30分)</w:t>
            </w:r>
          </w:p>
        </w:tc>
        <w:tc>
          <w:tcPr>
            <w:tcW w:w="283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技术的先进程度</w:t>
            </w: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7-8分(高) </w:t>
            </w:r>
          </w:p>
        </w:tc>
        <w:tc>
          <w:tcPr>
            <w:tcW w:w="2268"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5-6分(较高)</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3-4分(一般) </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1-2分(较低) </w:t>
            </w:r>
          </w:p>
        </w:tc>
        <w:tc>
          <w:tcPr>
            <w:tcW w:w="1584" w:type="dxa"/>
            <w:tcBorders>
              <w:top w:val="nil"/>
              <w:left w:val="nil"/>
              <w:bottom w:val="nil"/>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0分(无) </w:t>
            </w:r>
          </w:p>
        </w:tc>
      </w:tr>
      <w:tr>
        <w:tblPrEx>
          <w:tblCellMar>
            <w:top w:w="0" w:type="dxa"/>
            <w:left w:w="108" w:type="dxa"/>
            <w:bottom w:w="0" w:type="dxa"/>
            <w:right w:w="108" w:type="dxa"/>
          </w:tblCellMar>
        </w:tblPrEx>
        <w:trPr>
          <w:trHeight w:val="660" w:hRule="atLeast"/>
        </w:trPr>
        <w:tc>
          <w:tcPr>
            <w:tcW w:w="1872"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rPr>
            </w:pPr>
          </w:p>
        </w:tc>
        <w:tc>
          <w:tcPr>
            <w:tcW w:w="2835"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lang w:eastAsia="zh-CN"/>
              </w:rPr>
            </w:pPr>
            <w:r>
              <w:rPr>
                <w:rFonts w:hint="eastAsia" w:ascii="微软雅黑" w:hAnsi="微软雅黑" w:eastAsia="微软雅黑" w:cs="宋体"/>
                <w:color w:val="000000"/>
                <w:lang w:eastAsia="zh-CN"/>
              </w:rPr>
              <w:t>对主要产品(服务)在技术上发挥核心支持作用</w:t>
            </w:r>
          </w:p>
        </w:tc>
        <w:tc>
          <w:tcPr>
            <w:tcW w:w="255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7-8分(强) </w:t>
            </w:r>
          </w:p>
        </w:tc>
        <w:tc>
          <w:tcPr>
            <w:tcW w:w="2268"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5-6分(较强) </w:t>
            </w:r>
          </w:p>
        </w:tc>
        <w:tc>
          <w:tcPr>
            <w:tcW w:w="170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3-4分(一般) </w:t>
            </w:r>
          </w:p>
        </w:tc>
        <w:tc>
          <w:tcPr>
            <w:tcW w:w="170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1-2分(较弱) </w:t>
            </w:r>
          </w:p>
        </w:tc>
        <w:tc>
          <w:tcPr>
            <w:tcW w:w="1584" w:type="dxa"/>
            <w:tcBorders>
              <w:top w:val="single" w:color="auto" w:sz="4" w:space="0"/>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0分(无) </w:t>
            </w:r>
          </w:p>
        </w:tc>
      </w:tr>
      <w:tr>
        <w:tblPrEx>
          <w:tblCellMar>
            <w:top w:w="0" w:type="dxa"/>
            <w:left w:w="108" w:type="dxa"/>
            <w:bottom w:w="0" w:type="dxa"/>
            <w:right w:w="108" w:type="dxa"/>
          </w:tblCellMar>
        </w:tblPrEx>
        <w:trPr>
          <w:trHeight w:val="330" w:hRule="atLeast"/>
        </w:trPr>
        <w:tc>
          <w:tcPr>
            <w:tcW w:w="1872"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rPr>
            </w:pPr>
          </w:p>
        </w:tc>
        <w:tc>
          <w:tcPr>
            <w:tcW w:w="2835"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知识产权数量</w:t>
            </w: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7-8分</w:t>
            </w:r>
          </w:p>
        </w:tc>
        <w:tc>
          <w:tcPr>
            <w:tcW w:w="2268"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5-6分</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3-4分</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1-2分</w:t>
            </w:r>
          </w:p>
        </w:tc>
        <w:tc>
          <w:tcPr>
            <w:tcW w:w="1584"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0分(0项) </w:t>
            </w:r>
          </w:p>
        </w:tc>
      </w:tr>
      <w:tr>
        <w:tblPrEx>
          <w:tblCellMar>
            <w:top w:w="0" w:type="dxa"/>
            <w:left w:w="108" w:type="dxa"/>
            <w:bottom w:w="0" w:type="dxa"/>
            <w:right w:w="108" w:type="dxa"/>
          </w:tblCellMar>
        </w:tblPrEx>
        <w:trPr>
          <w:trHeight w:val="330" w:hRule="atLeast"/>
        </w:trPr>
        <w:tc>
          <w:tcPr>
            <w:tcW w:w="1872"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rPr>
            </w:pPr>
          </w:p>
        </w:tc>
        <w:tc>
          <w:tcPr>
            <w:tcW w:w="2835" w:type="dxa"/>
            <w:vMerge w:val="continue"/>
            <w:tcBorders>
              <w:top w:val="nil"/>
              <w:left w:val="single" w:color="auto" w:sz="4" w:space="0"/>
              <w:bottom w:val="single" w:color="000000" w:sz="4" w:space="0"/>
              <w:right w:val="single" w:color="auto" w:sz="4" w:space="0"/>
            </w:tcBorders>
            <w:vAlign w:val="center"/>
          </w:tcPr>
          <w:p>
            <w:pPr>
              <w:widowControl/>
              <w:rPr>
                <w:rFonts w:ascii="微软雅黑" w:hAnsi="微软雅黑" w:eastAsia="微软雅黑" w:cs="宋体"/>
                <w:color w:val="000000"/>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Ⅰ类1项及以上</w:t>
            </w:r>
          </w:p>
        </w:tc>
        <w:tc>
          <w:tcPr>
            <w:tcW w:w="2268"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Ⅱ类5项及以上</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Ⅱ类3-4项</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Ⅱ类1-2项</w:t>
            </w:r>
          </w:p>
        </w:tc>
        <w:tc>
          <w:tcPr>
            <w:tcW w:w="1584" w:type="dxa"/>
            <w:vMerge w:val="continue"/>
            <w:tcBorders>
              <w:top w:val="nil"/>
              <w:left w:val="single" w:color="auto" w:sz="4" w:space="0"/>
              <w:bottom w:val="single" w:color="000000" w:sz="4" w:space="0"/>
              <w:right w:val="single" w:color="auto" w:sz="4" w:space="0"/>
            </w:tcBorders>
            <w:vAlign w:val="center"/>
          </w:tcPr>
          <w:p>
            <w:pPr>
              <w:widowControl/>
              <w:rPr>
                <w:rFonts w:ascii="微软雅黑" w:hAnsi="微软雅黑" w:eastAsia="微软雅黑" w:cs="宋体"/>
                <w:color w:val="000000"/>
              </w:rPr>
            </w:pPr>
          </w:p>
        </w:tc>
      </w:tr>
      <w:tr>
        <w:tblPrEx>
          <w:tblCellMar>
            <w:top w:w="0" w:type="dxa"/>
            <w:left w:w="108" w:type="dxa"/>
            <w:bottom w:w="0" w:type="dxa"/>
            <w:right w:w="108" w:type="dxa"/>
          </w:tblCellMar>
        </w:tblPrEx>
        <w:trPr>
          <w:trHeight w:val="330" w:hRule="atLeast"/>
        </w:trPr>
        <w:tc>
          <w:tcPr>
            <w:tcW w:w="1872"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rPr>
            </w:pPr>
          </w:p>
        </w:tc>
        <w:tc>
          <w:tcPr>
            <w:tcW w:w="2835" w:type="dxa"/>
            <w:vMerge w:val="restart"/>
            <w:tcBorders>
              <w:top w:val="nil"/>
              <w:left w:val="single" w:color="auto" w:sz="4" w:space="0"/>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知识产权获得方式</w:t>
            </w:r>
          </w:p>
        </w:tc>
        <w:tc>
          <w:tcPr>
            <w:tcW w:w="255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1-6分</w:t>
            </w:r>
          </w:p>
        </w:tc>
        <w:tc>
          <w:tcPr>
            <w:tcW w:w="2268"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1-3分</w:t>
            </w:r>
          </w:p>
        </w:tc>
        <w:tc>
          <w:tcPr>
            <w:tcW w:w="4986" w:type="dxa"/>
            <w:gridSpan w:val="3"/>
            <w:vMerge w:val="restart"/>
            <w:tcBorders>
              <w:top w:val="nil"/>
              <w:left w:val="single" w:color="auto" w:sz="4" w:space="0"/>
              <w:right w:val="single" w:color="auto" w:sz="4" w:space="0"/>
            </w:tcBorders>
            <w:shd w:val="clear" w:color="000000" w:fill="FFFFFF"/>
            <w:vAlign w:val="center"/>
          </w:tcPr>
          <w:p>
            <w:pPr>
              <w:jc w:val="center"/>
              <w:rPr>
                <w:rFonts w:ascii="微软雅黑" w:hAnsi="微软雅黑" w:eastAsia="微软雅黑" w:cs="宋体"/>
                <w:color w:val="000000"/>
              </w:rPr>
            </w:pPr>
          </w:p>
        </w:tc>
      </w:tr>
      <w:tr>
        <w:tblPrEx>
          <w:tblCellMar>
            <w:top w:w="0" w:type="dxa"/>
            <w:left w:w="108" w:type="dxa"/>
            <w:bottom w:w="0" w:type="dxa"/>
            <w:right w:w="108" w:type="dxa"/>
          </w:tblCellMar>
        </w:tblPrEx>
        <w:trPr>
          <w:trHeight w:val="330" w:hRule="atLeast"/>
        </w:trPr>
        <w:tc>
          <w:tcPr>
            <w:tcW w:w="1872"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rPr>
            </w:pPr>
          </w:p>
        </w:tc>
        <w:tc>
          <w:tcPr>
            <w:tcW w:w="2835" w:type="dxa"/>
            <w:vMerge w:val="continue"/>
            <w:tcBorders>
              <w:top w:val="nil"/>
              <w:left w:val="single" w:color="auto" w:sz="4" w:space="0"/>
              <w:bottom w:val="single" w:color="auto" w:sz="4" w:space="0"/>
              <w:right w:val="single" w:color="auto" w:sz="4" w:space="0"/>
            </w:tcBorders>
            <w:shd w:val="clear" w:color="auto" w:fill="D6E3BC" w:themeFill="accent3" w:themeFillTint="66"/>
            <w:vAlign w:val="center"/>
          </w:tcPr>
          <w:p>
            <w:pPr>
              <w:widowControl/>
              <w:rPr>
                <w:rFonts w:ascii="微软雅黑" w:hAnsi="微软雅黑" w:eastAsia="微软雅黑" w:cs="宋体"/>
                <w:color w:val="000000"/>
              </w:rPr>
            </w:pPr>
          </w:p>
        </w:tc>
        <w:tc>
          <w:tcPr>
            <w:tcW w:w="255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自主研发</w:t>
            </w:r>
          </w:p>
        </w:tc>
        <w:tc>
          <w:tcPr>
            <w:tcW w:w="2268"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仅受让/受赠/并购等</w:t>
            </w:r>
          </w:p>
        </w:tc>
        <w:tc>
          <w:tcPr>
            <w:tcW w:w="4986" w:type="dxa"/>
            <w:gridSpan w:val="3"/>
            <w:vMerge w:val="continue"/>
            <w:tcBorders>
              <w:left w:val="single" w:color="auto" w:sz="4" w:space="0"/>
              <w:right w:val="single" w:color="auto" w:sz="4" w:space="0"/>
            </w:tcBorders>
            <w:vAlign w:val="center"/>
          </w:tcPr>
          <w:p>
            <w:pPr>
              <w:jc w:val="center"/>
              <w:rPr>
                <w:rFonts w:ascii="微软雅黑" w:hAnsi="微软雅黑" w:eastAsia="微软雅黑" w:cs="宋体"/>
                <w:color w:val="000000"/>
              </w:rPr>
            </w:pPr>
          </w:p>
        </w:tc>
      </w:tr>
      <w:tr>
        <w:tblPrEx>
          <w:tblCellMar>
            <w:top w:w="0" w:type="dxa"/>
            <w:left w:w="108" w:type="dxa"/>
            <w:bottom w:w="0" w:type="dxa"/>
            <w:right w:w="108" w:type="dxa"/>
          </w:tblCellMar>
        </w:tblPrEx>
        <w:trPr>
          <w:trHeight w:val="660" w:hRule="atLeast"/>
        </w:trPr>
        <w:tc>
          <w:tcPr>
            <w:tcW w:w="1872" w:type="dxa"/>
            <w:vMerge w:val="continue"/>
            <w:tcBorders>
              <w:top w:val="single" w:color="auto" w:sz="4" w:space="0"/>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rPr>
            </w:pPr>
          </w:p>
        </w:tc>
        <w:tc>
          <w:tcPr>
            <w:tcW w:w="2835"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lang w:eastAsia="zh-CN"/>
              </w:rPr>
            </w:pPr>
            <w:r>
              <w:rPr>
                <w:rFonts w:hint="eastAsia" w:ascii="微软雅黑" w:hAnsi="微软雅黑" w:eastAsia="微软雅黑" w:cs="宋体"/>
                <w:color w:val="000000"/>
                <w:lang w:eastAsia="zh-CN"/>
              </w:rPr>
              <w:t>参与制定标准、检测方法、技术规范</w:t>
            </w: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1-2分(是) </w:t>
            </w:r>
          </w:p>
        </w:tc>
        <w:tc>
          <w:tcPr>
            <w:tcW w:w="2268" w:type="dxa"/>
            <w:tcBorders>
              <w:top w:val="nil"/>
              <w:left w:val="nil"/>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0分(否) </w:t>
            </w:r>
          </w:p>
        </w:tc>
        <w:tc>
          <w:tcPr>
            <w:tcW w:w="4986" w:type="dxa"/>
            <w:gridSpan w:val="3"/>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rPr>
            </w:pPr>
          </w:p>
        </w:tc>
      </w:tr>
      <w:tr>
        <w:tblPrEx>
          <w:tblCellMar>
            <w:top w:w="0" w:type="dxa"/>
            <w:left w:w="108" w:type="dxa"/>
            <w:bottom w:w="0" w:type="dxa"/>
            <w:right w:w="108" w:type="dxa"/>
          </w:tblCellMar>
        </w:tblPrEx>
        <w:trPr>
          <w:trHeight w:val="900" w:hRule="atLeast"/>
        </w:trPr>
        <w:tc>
          <w:tcPr>
            <w:tcW w:w="1872"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科技成果转化</w:t>
            </w:r>
            <w:r>
              <w:rPr>
                <w:rFonts w:ascii="微软雅黑" w:hAnsi="微软雅黑" w:eastAsia="微软雅黑" w:cs="宋体"/>
                <w:b/>
                <w:bCs/>
                <w:color w:val="000000"/>
              </w:rPr>
              <w:br w:type="textWrapping"/>
            </w:r>
            <w:r>
              <w:rPr>
                <w:rFonts w:hint="eastAsia" w:ascii="微软雅黑" w:hAnsi="微软雅黑" w:eastAsia="微软雅黑" w:cs="宋体"/>
                <w:b/>
                <w:bCs/>
                <w:color w:val="000000"/>
              </w:rPr>
              <w:t>能力(30分)</w:t>
            </w:r>
          </w:p>
        </w:tc>
        <w:tc>
          <w:tcPr>
            <w:tcW w:w="2835"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年平均数</w:t>
            </w:r>
          </w:p>
        </w:tc>
        <w:tc>
          <w:tcPr>
            <w:tcW w:w="255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25-30分(≥5项) </w:t>
            </w:r>
          </w:p>
        </w:tc>
        <w:tc>
          <w:tcPr>
            <w:tcW w:w="2268"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19-24分(≥4项) </w:t>
            </w:r>
          </w:p>
        </w:tc>
        <w:tc>
          <w:tcPr>
            <w:tcW w:w="170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13-18分(≥3项) </w:t>
            </w:r>
          </w:p>
        </w:tc>
        <w:tc>
          <w:tcPr>
            <w:tcW w:w="1701"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7-12分(≥2项) </w:t>
            </w:r>
          </w:p>
        </w:tc>
        <w:tc>
          <w:tcPr>
            <w:tcW w:w="1584" w:type="dxa"/>
            <w:tcBorders>
              <w:top w:val="nil"/>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1-6分(≥1项) </w:t>
            </w:r>
          </w:p>
        </w:tc>
      </w:tr>
      <w:tr>
        <w:tblPrEx>
          <w:tblCellMar>
            <w:top w:w="0" w:type="dxa"/>
            <w:left w:w="108" w:type="dxa"/>
            <w:bottom w:w="0" w:type="dxa"/>
            <w:right w:w="108" w:type="dxa"/>
          </w:tblCellMar>
        </w:tblPrEx>
        <w:trPr>
          <w:trHeight w:val="330" w:hRule="atLeast"/>
        </w:trPr>
        <w:tc>
          <w:tcPr>
            <w:tcW w:w="1872"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研发组织管理</w:t>
            </w:r>
            <w:r>
              <w:rPr>
                <w:rFonts w:ascii="微软雅黑" w:hAnsi="微软雅黑" w:eastAsia="微软雅黑" w:cs="宋体"/>
                <w:b/>
                <w:bCs/>
                <w:color w:val="000000"/>
              </w:rPr>
              <w:br w:type="textWrapping"/>
            </w:r>
            <w:r>
              <w:rPr>
                <w:rFonts w:hint="eastAsia" w:ascii="微软雅黑" w:hAnsi="微软雅黑" w:eastAsia="微软雅黑" w:cs="宋体"/>
                <w:b/>
                <w:bCs/>
                <w:color w:val="000000"/>
              </w:rPr>
              <w:t>水平 (20分)</w:t>
            </w:r>
          </w:p>
        </w:tc>
        <w:tc>
          <w:tcPr>
            <w:tcW w:w="12640" w:type="dxa"/>
            <w:gridSpan w:val="6"/>
            <w:tcBorders>
              <w:top w:val="single" w:color="auto" w:sz="4" w:space="0"/>
              <w:left w:val="nil"/>
              <w:bottom w:val="single" w:color="auto" w:sz="4" w:space="0"/>
              <w:right w:val="single" w:color="auto" w:sz="4" w:space="0"/>
            </w:tcBorders>
            <w:shd w:val="clear" w:color="000000" w:fill="FFFFFF"/>
            <w:vAlign w:val="center"/>
          </w:tcPr>
          <w:p>
            <w:pPr>
              <w:widowControl/>
              <w:rPr>
                <w:rFonts w:ascii="微软雅黑" w:hAnsi="微软雅黑" w:eastAsia="微软雅黑" w:cs="宋体"/>
                <w:color w:val="000000"/>
                <w:lang w:eastAsia="zh-CN"/>
              </w:rPr>
            </w:pPr>
            <w:r>
              <w:rPr>
                <w:rFonts w:hint="eastAsia" w:ascii="微软雅黑" w:hAnsi="微软雅黑" w:eastAsia="微软雅黑" w:cs="宋体"/>
                <w:color w:val="000000"/>
                <w:lang w:eastAsia="zh-CN"/>
              </w:rPr>
              <w:t>研发组织管理制度，研发投入核算体系，研发费用辅助账(≤6)</w:t>
            </w:r>
          </w:p>
        </w:tc>
      </w:tr>
      <w:tr>
        <w:tblPrEx>
          <w:tblCellMar>
            <w:top w:w="0" w:type="dxa"/>
            <w:left w:w="108" w:type="dxa"/>
            <w:bottom w:w="0" w:type="dxa"/>
            <w:right w:w="108" w:type="dxa"/>
          </w:tblCellMar>
        </w:tblPrEx>
        <w:trPr>
          <w:trHeight w:val="330" w:hRule="atLeast"/>
        </w:trPr>
        <w:tc>
          <w:tcPr>
            <w:tcW w:w="1872" w:type="dxa"/>
            <w:vMerge w:val="continue"/>
            <w:tcBorders>
              <w:top w:val="nil"/>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lang w:eastAsia="zh-CN"/>
              </w:rPr>
            </w:pPr>
          </w:p>
        </w:tc>
        <w:tc>
          <w:tcPr>
            <w:tcW w:w="12640" w:type="dxa"/>
            <w:gridSpan w:val="6"/>
            <w:tcBorders>
              <w:top w:val="single" w:color="auto" w:sz="4" w:space="0"/>
              <w:left w:val="nil"/>
              <w:bottom w:val="single" w:color="auto" w:sz="4" w:space="0"/>
              <w:right w:val="single" w:color="auto" w:sz="4" w:space="0"/>
            </w:tcBorders>
            <w:shd w:val="clear" w:color="000000" w:fill="FFFFFF"/>
            <w:vAlign w:val="center"/>
          </w:tcPr>
          <w:p>
            <w:pPr>
              <w:widowControl/>
              <w:rPr>
                <w:rFonts w:ascii="微软雅黑" w:hAnsi="微软雅黑" w:eastAsia="微软雅黑" w:cs="宋体"/>
                <w:color w:val="000000"/>
                <w:lang w:eastAsia="zh-CN"/>
              </w:rPr>
            </w:pPr>
            <w:r>
              <w:rPr>
                <w:rFonts w:hint="eastAsia" w:ascii="微软雅黑" w:hAnsi="微软雅黑" w:eastAsia="微软雅黑" w:cs="宋体"/>
                <w:color w:val="000000"/>
                <w:lang w:eastAsia="zh-CN"/>
              </w:rPr>
              <w:t>内部研发机构及相应科研条件，产学研合作(≤6)</w:t>
            </w:r>
          </w:p>
        </w:tc>
      </w:tr>
      <w:tr>
        <w:tblPrEx>
          <w:tblCellMar>
            <w:top w:w="0" w:type="dxa"/>
            <w:left w:w="108" w:type="dxa"/>
            <w:bottom w:w="0" w:type="dxa"/>
            <w:right w:w="108" w:type="dxa"/>
          </w:tblCellMar>
        </w:tblPrEx>
        <w:trPr>
          <w:trHeight w:val="330" w:hRule="atLeast"/>
        </w:trPr>
        <w:tc>
          <w:tcPr>
            <w:tcW w:w="1872" w:type="dxa"/>
            <w:vMerge w:val="continue"/>
            <w:tcBorders>
              <w:top w:val="nil"/>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lang w:eastAsia="zh-CN"/>
              </w:rPr>
            </w:pPr>
          </w:p>
        </w:tc>
        <w:tc>
          <w:tcPr>
            <w:tcW w:w="12640" w:type="dxa"/>
            <w:gridSpan w:val="6"/>
            <w:tcBorders>
              <w:top w:val="single" w:color="auto" w:sz="4" w:space="0"/>
              <w:left w:val="nil"/>
              <w:bottom w:val="single" w:color="auto" w:sz="4" w:space="0"/>
              <w:right w:val="single" w:color="auto" w:sz="4" w:space="0"/>
            </w:tcBorders>
            <w:shd w:val="clear" w:color="000000" w:fill="FFFFFF"/>
            <w:vAlign w:val="center"/>
          </w:tcPr>
          <w:p>
            <w:pPr>
              <w:widowControl/>
              <w:rPr>
                <w:rFonts w:ascii="微软雅黑" w:hAnsi="微软雅黑" w:eastAsia="微软雅黑" w:cs="宋体"/>
                <w:color w:val="000000"/>
                <w:lang w:eastAsia="zh-CN"/>
              </w:rPr>
            </w:pPr>
            <w:r>
              <w:rPr>
                <w:rFonts w:hint="eastAsia" w:ascii="微软雅黑" w:hAnsi="微软雅黑" w:eastAsia="微软雅黑" w:cs="宋体"/>
                <w:color w:val="000000"/>
                <w:lang w:eastAsia="zh-CN"/>
              </w:rPr>
              <w:t>科研成果转化组织实施与激励制度，开放式创新创业平台(≤4)</w:t>
            </w:r>
          </w:p>
        </w:tc>
      </w:tr>
      <w:tr>
        <w:tblPrEx>
          <w:tblCellMar>
            <w:top w:w="0" w:type="dxa"/>
            <w:left w:w="108" w:type="dxa"/>
            <w:bottom w:w="0" w:type="dxa"/>
            <w:right w:w="108" w:type="dxa"/>
          </w:tblCellMar>
        </w:tblPrEx>
        <w:trPr>
          <w:trHeight w:val="330" w:hRule="atLeast"/>
        </w:trPr>
        <w:tc>
          <w:tcPr>
            <w:tcW w:w="1872" w:type="dxa"/>
            <w:vMerge w:val="continue"/>
            <w:tcBorders>
              <w:top w:val="nil"/>
              <w:left w:val="single" w:color="auto" w:sz="4" w:space="0"/>
              <w:bottom w:val="single" w:color="000000" w:sz="4" w:space="0"/>
              <w:right w:val="single" w:color="auto" w:sz="4" w:space="0"/>
            </w:tcBorders>
            <w:vAlign w:val="center"/>
          </w:tcPr>
          <w:p>
            <w:pPr>
              <w:widowControl/>
              <w:jc w:val="center"/>
              <w:rPr>
                <w:rFonts w:ascii="微软雅黑" w:hAnsi="微软雅黑" w:eastAsia="微软雅黑" w:cs="宋体"/>
                <w:b/>
                <w:bCs/>
                <w:color w:val="000000"/>
                <w:lang w:eastAsia="zh-CN"/>
              </w:rPr>
            </w:pPr>
          </w:p>
        </w:tc>
        <w:tc>
          <w:tcPr>
            <w:tcW w:w="12640" w:type="dxa"/>
            <w:gridSpan w:val="6"/>
            <w:tcBorders>
              <w:top w:val="single" w:color="auto" w:sz="4" w:space="0"/>
              <w:left w:val="nil"/>
              <w:bottom w:val="single" w:color="auto" w:sz="4" w:space="0"/>
              <w:right w:val="single" w:color="auto" w:sz="4" w:space="0"/>
            </w:tcBorders>
            <w:shd w:val="clear" w:color="000000" w:fill="FFFFFF"/>
            <w:vAlign w:val="center"/>
          </w:tcPr>
          <w:p>
            <w:pPr>
              <w:widowControl/>
              <w:rPr>
                <w:rFonts w:ascii="微软雅黑" w:hAnsi="微软雅黑" w:eastAsia="微软雅黑" w:cs="宋体"/>
                <w:color w:val="000000"/>
                <w:lang w:eastAsia="zh-CN"/>
              </w:rPr>
            </w:pPr>
            <w:r>
              <w:rPr>
                <w:rFonts w:hint="eastAsia" w:ascii="微软雅黑" w:hAnsi="微软雅黑" w:eastAsia="微软雅黑" w:cs="宋体"/>
                <w:color w:val="000000"/>
                <w:lang w:eastAsia="zh-CN"/>
              </w:rPr>
              <w:t xml:space="preserve">科技人员培养进修、职工技能培训、优秀人才引进、人才绩效评价奖励制度(≤4) </w:t>
            </w:r>
          </w:p>
        </w:tc>
      </w:tr>
      <w:tr>
        <w:tblPrEx>
          <w:tblCellMar>
            <w:top w:w="0" w:type="dxa"/>
            <w:left w:w="108" w:type="dxa"/>
            <w:bottom w:w="0" w:type="dxa"/>
            <w:right w:w="108" w:type="dxa"/>
          </w:tblCellMar>
        </w:tblPrEx>
        <w:trPr>
          <w:trHeight w:val="330" w:hRule="atLeast"/>
        </w:trPr>
        <w:tc>
          <w:tcPr>
            <w:tcW w:w="1872" w:type="dxa"/>
            <w:vMerge w:val="restart"/>
            <w:tcBorders>
              <w:top w:val="nil"/>
              <w:left w:val="single" w:color="auto" w:sz="4" w:space="0"/>
              <w:right w:val="single" w:color="auto" w:sz="4" w:space="0"/>
            </w:tcBorders>
            <w:shd w:val="clear" w:color="000000" w:fill="FFFFFF"/>
          </w:tcPr>
          <w:p>
            <w:pPr>
              <w:widowControl/>
              <w:jc w:val="center"/>
              <w:rPr>
                <w:rFonts w:ascii="微软雅黑" w:hAnsi="微软雅黑" w:eastAsia="微软雅黑" w:cs="宋体"/>
                <w:b/>
                <w:bCs/>
                <w:color w:val="000000"/>
              </w:rPr>
            </w:pPr>
            <w:r>
              <w:rPr>
                <w:rFonts w:hint="eastAsia" w:ascii="微软雅黑" w:hAnsi="微软雅黑" w:eastAsia="微软雅黑" w:cs="宋体"/>
                <w:b/>
                <w:bCs/>
                <w:color w:val="000000"/>
              </w:rPr>
              <w:t>企业成长性</w:t>
            </w:r>
            <w:r>
              <w:rPr>
                <w:rFonts w:ascii="微软雅黑" w:hAnsi="微软雅黑" w:eastAsia="微软雅黑" w:cs="宋体"/>
                <w:b/>
                <w:bCs/>
                <w:color w:val="000000"/>
              </w:rPr>
              <w:br w:type="textWrapping"/>
            </w:r>
            <w:r>
              <w:rPr>
                <w:rFonts w:hint="eastAsia" w:ascii="微软雅黑" w:hAnsi="微软雅黑" w:eastAsia="微软雅黑" w:cs="宋体"/>
                <w:b/>
                <w:bCs/>
                <w:color w:val="000000"/>
              </w:rPr>
              <w:t>(20分)</w:t>
            </w:r>
          </w:p>
        </w:tc>
        <w:tc>
          <w:tcPr>
            <w:tcW w:w="2835" w:type="dxa"/>
            <w:tcBorders>
              <w:top w:val="single" w:color="auto" w:sz="4" w:space="0"/>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净资产增长率(10分)</w:t>
            </w:r>
          </w:p>
        </w:tc>
        <w:tc>
          <w:tcPr>
            <w:tcW w:w="2551" w:type="dxa"/>
            <w:vMerge w:val="restart"/>
            <w:tcBorders>
              <w:top w:val="nil"/>
              <w:left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9-10分(≥35%) </w:t>
            </w:r>
          </w:p>
        </w:tc>
        <w:tc>
          <w:tcPr>
            <w:tcW w:w="2268" w:type="dxa"/>
            <w:vMerge w:val="restart"/>
            <w:tcBorders>
              <w:top w:val="nil"/>
              <w:left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7-8分(≥25%) </w:t>
            </w:r>
          </w:p>
        </w:tc>
        <w:tc>
          <w:tcPr>
            <w:tcW w:w="1701" w:type="dxa"/>
            <w:vMerge w:val="restart"/>
            <w:tcBorders>
              <w:top w:val="nil"/>
              <w:left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5-6分(≥15%) </w:t>
            </w:r>
          </w:p>
        </w:tc>
        <w:tc>
          <w:tcPr>
            <w:tcW w:w="1701" w:type="dxa"/>
            <w:vMerge w:val="restart"/>
            <w:tcBorders>
              <w:top w:val="nil"/>
              <w:left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3-4分(≥5%) </w:t>
            </w:r>
          </w:p>
        </w:tc>
        <w:tc>
          <w:tcPr>
            <w:tcW w:w="1584" w:type="dxa"/>
            <w:vMerge w:val="restart"/>
            <w:tcBorders>
              <w:top w:val="nil"/>
              <w:left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 xml:space="preserve">1-2分(＞0) </w:t>
            </w:r>
          </w:p>
        </w:tc>
      </w:tr>
      <w:tr>
        <w:tblPrEx>
          <w:tblCellMar>
            <w:top w:w="0" w:type="dxa"/>
            <w:left w:w="108" w:type="dxa"/>
            <w:bottom w:w="0" w:type="dxa"/>
            <w:right w:w="108" w:type="dxa"/>
          </w:tblCellMar>
        </w:tblPrEx>
        <w:trPr>
          <w:trHeight w:val="330" w:hRule="atLeast"/>
        </w:trPr>
        <w:tc>
          <w:tcPr>
            <w:tcW w:w="1872" w:type="dxa"/>
            <w:vMerge w:val="continue"/>
            <w:tcBorders>
              <w:left w:val="single" w:color="auto" w:sz="4" w:space="0"/>
              <w:bottom w:val="single" w:color="000000" w:sz="4" w:space="0"/>
              <w:right w:val="single" w:color="auto" w:sz="4" w:space="0"/>
            </w:tcBorders>
            <w:shd w:val="clear" w:color="000000" w:fill="FFFFFF"/>
          </w:tcPr>
          <w:p>
            <w:pPr>
              <w:widowControl/>
              <w:jc w:val="center"/>
              <w:rPr>
                <w:rFonts w:ascii="微软雅黑" w:hAnsi="微软雅黑" w:eastAsia="微软雅黑" w:cs="宋体"/>
                <w:b/>
                <w:bCs/>
                <w:color w:val="000000"/>
              </w:rPr>
            </w:pPr>
          </w:p>
        </w:tc>
        <w:tc>
          <w:tcPr>
            <w:tcW w:w="2835" w:type="dxa"/>
            <w:tcBorders>
              <w:top w:val="single" w:color="auto" w:sz="4" w:space="0"/>
              <w:left w:val="nil"/>
              <w:bottom w:val="single" w:color="auto"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r>
              <w:rPr>
                <w:rFonts w:hint="eastAsia" w:ascii="微软雅黑" w:hAnsi="微软雅黑" w:eastAsia="微软雅黑" w:cs="宋体"/>
                <w:color w:val="000000"/>
              </w:rPr>
              <w:t>销售收入增长率(10分)</w:t>
            </w:r>
          </w:p>
        </w:tc>
        <w:tc>
          <w:tcPr>
            <w:tcW w:w="2551" w:type="dxa"/>
            <w:vMerge w:val="continue"/>
            <w:tcBorders>
              <w:left w:val="single" w:color="auto" w:sz="4" w:space="0"/>
              <w:bottom w:val="single" w:color="000000"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p>
        </w:tc>
        <w:tc>
          <w:tcPr>
            <w:tcW w:w="2268" w:type="dxa"/>
            <w:vMerge w:val="continue"/>
            <w:tcBorders>
              <w:left w:val="single" w:color="auto" w:sz="4" w:space="0"/>
              <w:bottom w:val="single" w:color="000000"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p>
        </w:tc>
        <w:tc>
          <w:tcPr>
            <w:tcW w:w="1701" w:type="dxa"/>
            <w:vMerge w:val="continue"/>
            <w:tcBorders>
              <w:left w:val="single" w:color="auto" w:sz="4" w:space="0"/>
              <w:bottom w:val="single" w:color="000000"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p>
        </w:tc>
        <w:tc>
          <w:tcPr>
            <w:tcW w:w="1701" w:type="dxa"/>
            <w:vMerge w:val="continue"/>
            <w:tcBorders>
              <w:left w:val="single" w:color="auto" w:sz="4" w:space="0"/>
              <w:bottom w:val="single" w:color="000000"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p>
        </w:tc>
        <w:tc>
          <w:tcPr>
            <w:tcW w:w="1584" w:type="dxa"/>
            <w:vMerge w:val="continue"/>
            <w:tcBorders>
              <w:left w:val="single" w:color="auto" w:sz="4" w:space="0"/>
              <w:bottom w:val="single" w:color="000000" w:sz="4" w:space="0"/>
              <w:right w:val="single" w:color="auto" w:sz="4" w:space="0"/>
            </w:tcBorders>
            <w:shd w:val="clear" w:color="auto" w:fill="D6E3BC" w:themeFill="accent3" w:themeFillTint="66"/>
            <w:vAlign w:val="center"/>
          </w:tcPr>
          <w:p>
            <w:pPr>
              <w:widowControl/>
              <w:jc w:val="center"/>
              <w:rPr>
                <w:rFonts w:ascii="微软雅黑" w:hAnsi="微软雅黑" w:eastAsia="微软雅黑" w:cs="宋体"/>
                <w:color w:val="000000"/>
              </w:rPr>
            </w:pPr>
          </w:p>
        </w:tc>
      </w:tr>
    </w:tbl>
    <w:p>
      <w:pPr>
        <w:pStyle w:val="3"/>
        <w:adjustRightInd w:val="0"/>
        <w:snapToGrid w:val="0"/>
        <w:spacing w:line="440" w:lineRule="exact"/>
        <w:ind w:left="119"/>
        <w:jc w:val="center"/>
        <w:rPr>
          <w:rFonts w:hAnsi="微软雅黑"/>
          <w:b/>
          <w:sz w:val="36"/>
          <w:szCs w:val="36"/>
          <w:lang w:eastAsia="zh-CN"/>
        </w:rPr>
        <w:sectPr>
          <w:pgSz w:w="16840" w:h="11910" w:orient="landscape"/>
          <w:pgMar w:top="1077" w:right="1418" w:bottom="1077" w:left="1021" w:header="720" w:footer="720" w:gutter="0"/>
          <w:pgNumType w:fmt="numberInDash"/>
          <w:cols w:space="720" w:num="1"/>
          <w:docGrid w:linePitch="299" w:charSpace="0"/>
        </w:sectPr>
      </w:pPr>
    </w:p>
    <w:p>
      <w:pPr>
        <w:pStyle w:val="8"/>
        <w:spacing w:before="0" w:beforeAutospacing="0" w:after="0" w:afterAutospacing="0"/>
        <w:jc w:val="both"/>
        <w:rPr>
          <w:rFonts w:ascii="仿宋_GB2312" w:hAnsi="微软雅黑" w:eastAsia="仿宋_GB2312" w:cs="黑体"/>
          <w:b/>
          <w:w w:val="99"/>
          <w:sz w:val="36"/>
          <w:szCs w:val="36"/>
        </w:rPr>
      </w:pPr>
      <w:r>
        <w:rPr>
          <w:rFonts w:ascii="微软雅黑" w:hAnsi="微软雅黑" w:eastAsia="微软雅黑"/>
          <w:sz w:val="28"/>
          <w:szCs w:val="28"/>
        </w:rPr>
        <w:drawing>
          <wp:anchor distT="0" distB="0" distL="114300" distR="114300" simplePos="0" relativeHeight="251661312" behindDoc="1" locked="0" layoutInCell="1" allowOverlap="1">
            <wp:simplePos x="0" y="0"/>
            <wp:positionH relativeFrom="column">
              <wp:posOffset>4745355</wp:posOffset>
            </wp:positionH>
            <wp:positionV relativeFrom="paragraph">
              <wp:posOffset>210820</wp:posOffset>
            </wp:positionV>
            <wp:extent cx="1320800" cy="1320800"/>
            <wp:effectExtent l="0" t="0" r="0" b="0"/>
            <wp:wrapTight wrapText="bothSides">
              <wp:wrapPolygon>
                <wp:start x="0" y="0"/>
                <wp:lineTo x="0" y="21185"/>
                <wp:lineTo x="21185" y="21185"/>
                <wp:lineTo x="21185" y="0"/>
                <wp:lineTo x="0" y="0"/>
              </wp:wrapPolygon>
            </wp:wrapTight>
            <wp:docPr id="24300146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3001460" name="图片 2"/>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1320800" cy="1320800"/>
                    </a:xfrm>
                    <a:prstGeom prst="rect">
                      <a:avLst/>
                    </a:prstGeom>
                  </pic:spPr>
                </pic:pic>
              </a:graphicData>
            </a:graphic>
          </wp:anchor>
        </w:drawing>
      </w:r>
      <w:r>
        <w:rPr>
          <w:rStyle w:val="14"/>
          <w:rFonts w:hint="eastAsia" w:ascii="微软雅黑" w:hAnsi="微软雅黑" w:eastAsia="微软雅黑"/>
          <w:color w:val="215ACF"/>
          <w:spacing w:val="27"/>
          <w:sz w:val="28"/>
          <w:szCs w:val="32"/>
        </w:rPr>
        <w:t>六、高新技术企业怎么准备和申请</w:t>
      </w:r>
      <w:r>
        <w:rPr>
          <w:rStyle w:val="14"/>
          <w:rFonts w:hint="eastAsia" w:ascii="微软雅黑" w:eastAsia="微软雅黑"/>
          <w:b w:val="0"/>
          <w:color w:val="215ACF"/>
          <w:spacing w:val="27"/>
          <w:sz w:val="28"/>
          <w:szCs w:val="32"/>
        </w:rPr>
        <w:t>？</w:t>
      </w:r>
    </w:p>
    <w:p>
      <w:pPr>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（一）高企准备工作</w:t>
      </w:r>
    </w:p>
    <w:p>
      <w:pPr>
        <w:ind w:firstLine="560" w:firstLineChars="200"/>
        <w:contextualSpacing/>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1</w:t>
      </w:r>
      <w:r>
        <w:rPr>
          <w:rFonts w:ascii="微软雅黑" w:hAnsi="微软雅黑" w:eastAsia="微软雅黑" w:cs="宋体"/>
          <w:sz w:val="28"/>
          <w:szCs w:val="28"/>
          <w:lang w:eastAsia="zh-CN"/>
        </w:rPr>
        <w:t>.</w:t>
      </w:r>
      <w:r>
        <w:rPr>
          <w:rFonts w:hint="eastAsia" w:ascii="微软雅黑" w:hAnsi="微软雅黑" w:eastAsia="微软雅黑" w:cs="宋体"/>
          <w:sz w:val="28"/>
          <w:szCs w:val="28"/>
          <w:lang w:eastAsia="zh-CN"/>
        </w:rPr>
        <w:t>申请知识产权</w:t>
      </w:r>
    </w:p>
    <w:p>
      <w:pPr>
        <w:ind w:firstLine="560" w:firstLineChars="200"/>
        <w:contextualSpacing/>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企业必须拥有在技术上核心支持作用的知识产权的所有权。</w:t>
      </w:r>
    </w:p>
    <w:p>
      <w:pPr>
        <w:ind w:firstLine="560" w:firstLineChars="200"/>
        <w:contextualSpacing/>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创新能力评价的</w:t>
      </w:r>
      <w:r>
        <w:rPr>
          <w:rFonts w:hint="eastAsia" w:ascii="微软雅黑" w:hAnsi="微软雅黑" w:eastAsia="微软雅黑" w:cs="宋体"/>
          <w:b/>
          <w:bCs/>
          <w:sz w:val="28"/>
          <w:szCs w:val="28"/>
          <w:lang w:eastAsia="zh-CN"/>
        </w:rPr>
        <w:t>“知识产权数量”</w:t>
      </w:r>
      <w:r>
        <w:rPr>
          <w:rFonts w:hint="eastAsia" w:ascii="微软雅黑" w:hAnsi="微软雅黑" w:eastAsia="微软雅黑" w:cs="宋体"/>
          <w:sz w:val="28"/>
          <w:szCs w:val="28"/>
          <w:lang w:eastAsia="zh-CN"/>
        </w:rPr>
        <w:t>指标中，拥有1个及以上的Ⅰ类知识产权可以获得A档分数，拥有5个及以上的Ⅱ类知识产权可以获得B档分数。但需要注意，按Ⅱ类知识产权评价的知识产权在申请高新技术企业时，仅限使用一次。</w:t>
      </w:r>
    </w:p>
    <w:p>
      <w:pPr>
        <w:ind w:firstLine="560" w:firstLineChars="200"/>
        <w:contextualSpacing/>
        <w:rPr>
          <w:rFonts w:ascii="微软雅黑" w:hAnsi="微软雅黑" w:eastAsia="微软雅黑"/>
          <w:color w:val="333333"/>
          <w:spacing w:val="27"/>
          <w:sz w:val="28"/>
          <w:szCs w:val="28"/>
          <w:shd w:val="clear" w:color="auto" w:fill="FFFFFF"/>
          <w:lang w:eastAsia="zh-CN"/>
        </w:rPr>
      </w:pPr>
      <w:r>
        <w:rPr>
          <w:rFonts w:hint="eastAsia" w:ascii="微软雅黑" w:hAnsi="微软雅黑" w:eastAsia="微软雅黑" w:cs="宋体"/>
          <w:sz w:val="28"/>
          <w:szCs w:val="28"/>
          <w:lang w:eastAsia="zh-CN"/>
        </w:rPr>
        <w:t>创新能力评价的</w:t>
      </w:r>
      <w:r>
        <w:rPr>
          <w:rFonts w:hint="eastAsia" w:ascii="微软雅黑" w:hAnsi="微软雅黑" w:eastAsia="微软雅黑" w:cs="宋体"/>
          <w:b/>
          <w:bCs/>
          <w:sz w:val="28"/>
          <w:szCs w:val="28"/>
          <w:lang w:eastAsia="zh-CN"/>
        </w:rPr>
        <w:t>“科技</w:t>
      </w:r>
      <w:r>
        <w:rPr>
          <w:rFonts w:hint="eastAsia" w:ascii="微软雅黑" w:hAnsi="微软雅黑" w:eastAsia="微软雅黑"/>
          <w:b/>
          <w:bCs/>
          <w:color w:val="333333"/>
          <w:spacing w:val="27"/>
          <w:sz w:val="28"/>
          <w:szCs w:val="28"/>
          <w:shd w:val="clear" w:color="auto" w:fill="FFFFFF"/>
          <w:lang w:eastAsia="zh-CN"/>
        </w:rPr>
        <w:t>成果转化能力”</w:t>
      </w:r>
      <w:r>
        <w:rPr>
          <w:rFonts w:hint="eastAsia" w:ascii="微软雅黑" w:hAnsi="微软雅黑" w:eastAsia="微软雅黑"/>
          <w:color w:val="333333"/>
          <w:spacing w:val="27"/>
          <w:sz w:val="28"/>
          <w:szCs w:val="28"/>
          <w:shd w:val="clear" w:color="auto" w:fill="FFFFFF"/>
          <w:lang w:eastAsia="zh-CN"/>
        </w:rPr>
        <w:t>指标中，一般以知识产权作为</w:t>
      </w:r>
      <w:r>
        <w:rPr>
          <w:rFonts w:hint="eastAsia" w:ascii="微软雅黑" w:hAnsi="微软雅黑" w:eastAsia="微软雅黑"/>
          <w:b/>
          <w:bCs/>
          <w:color w:val="333333"/>
          <w:spacing w:val="27"/>
          <w:sz w:val="28"/>
          <w:szCs w:val="28"/>
          <w:shd w:val="clear" w:color="auto" w:fill="FFFFFF"/>
          <w:lang w:eastAsia="zh-CN"/>
        </w:rPr>
        <w:t>科技成果</w:t>
      </w:r>
      <w:r>
        <w:rPr>
          <w:rFonts w:hint="eastAsia" w:ascii="微软雅黑" w:hAnsi="微软雅黑" w:eastAsia="微软雅黑"/>
          <w:color w:val="333333"/>
          <w:spacing w:val="27"/>
          <w:sz w:val="28"/>
          <w:szCs w:val="28"/>
          <w:shd w:val="clear" w:color="auto" w:fill="FFFFFF"/>
          <w:lang w:eastAsia="zh-CN"/>
        </w:rPr>
        <w:t>证明材料（</w:t>
      </w:r>
      <w:r>
        <w:rPr>
          <w:rFonts w:hint="eastAsia" w:ascii="微软雅黑" w:hAnsi="微软雅黑" w:eastAsia="微软雅黑"/>
          <w:b/>
          <w:bCs/>
          <w:color w:val="333333"/>
          <w:spacing w:val="27"/>
          <w:sz w:val="28"/>
          <w:szCs w:val="28"/>
          <w:shd w:val="clear" w:color="auto" w:fill="FFFFFF"/>
          <w:lang w:eastAsia="zh-CN"/>
        </w:rPr>
        <w:t>可以重复使用往年申报高企使用过的知识产权</w:t>
      </w:r>
      <w:r>
        <w:rPr>
          <w:rFonts w:hint="eastAsia" w:ascii="微软雅黑" w:hAnsi="微软雅黑" w:eastAsia="微软雅黑"/>
          <w:color w:val="333333"/>
          <w:spacing w:val="27"/>
          <w:sz w:val="28"/>
          <w:szCs w:val="28"/>
          <w:shd w:val="clear" w:color="auto" w:fill="FFFFFF"/>
          <w:lang w:eastAsia="zh-CN"/>
        </w:rPr>
        <w:t>），以产品检测报告或合同发票作为</w:t>
      </w:r>
      <w:r>
        <w:rPr>
          <w:rFonts w:hint="eastAsia" w:ascii="微软雅黑" w:hAnsi="微软雅黑" w:eastAsia="微软雅黑"/>
          <w:b/>
          <w:bCs/>
          <w:color w:val="333333"/>
          <w:spacing w:val="27"/>
          <w:sz w:val="28"/>
          <w:szCs w:val="28"/>
          <w:shd w:val="clear" w:color="auto" w:fill="FFFFFF"/>
          <w:lang w:eastAsia="zh-CN"/>
        </w:rPr>
        <w:t>成果转化结果</w:t>
      </w:r>
      <w:r>
        <w:rPr>
          <w:rFonts w:hint="eastAsia" w:ascii="微软雅黑" w:hAnsi="微软雅黑" w:eastAsia="微软雅黑"/>
          <w:color w:val="333333"/>
          <w:spacing w:val="27"/>
          <w:sz w:val="28"/>
          <w:szCs w:val="28"/>
          <w:shd w:val="clear" w:color="auto" w:fill="FFFFFF"/>
          <w:lang w:eastAsia="zh-CN"/>
        </w:rPr>
        <w:t>证明材料。以注册</w:t>
      </w:r>
      <w:r>
        <w:rPr>
          <w:rFonts w:ascii="微软雅黑" w:hAnsi="微软雅黑" w:eastAsia="微软雅黑"/>
          <w:color w:val="333333"/>
          <w:spacing w:val="27"/>
          <w:sz w:val="28"/>
          <w:szCs w:val="28"/>
          <w:shd w:val="clear" w:color="auto" w:fill="FFFFFF"/>
          <w:lang w:eastAsia="zh-CN"/>
        </w:rPr>
        <w:t>3</w:t>
      </w:r>
      <w:r>
        <w:rPr>
          <w:rFonts w:hint="eastAsia" w:ascii="微软雅黑" w:hAnsi="微软雅黑" w:eastAsia="微软雅黑"/>
          <w:color w:val="333333"/>
          <w:spacing w:val="27"/>
          <w:sz w:val="28"/>
          <w:szCs w:val="28"/>
          <w:shd w:val="clear" w:color="auto" w:fill="FFFFFF"/>
          <w:lang w:eastAsia="zh-CN"/>
        </w:rPr>
        <w:t>年以上的企业为例，企业至少将拥有的</w:t>
      </w:r>
      <w:r>
        <w:rPr>
          <w:rFonts w:hint="eastAsia" w:ascii="微软雅黑" w:hAnsi="微软雅黑" w:eastAsia="微软雅黑"/>
          <w:b/>
          <w:bCs/>
          <w:color w:val="333333"/>
          <w:spacing w:val="27"/>
          <w:sz w:val="28"/>
          <w:szCs w:val="28"/>
          <w:shd w:val="clear" w:color="auto" w:fill="FFFFFF"/>
          <w:lang w:eastAsia="zh-CN"/>
        </w:rPr>
        <w:t>1</w:t>
      </w:r>
      <w:r>
        <w:rPr>
          <w:rFonts w:ascii="微软雅黑" w:hAnsi="微软雅黑" w:eastAsia="微软雅黑"/>
          <w:b/>
          <w:bCs/>
          <w:color w:val="333333"/>
          <w:spacing w:val="27"/>
          <w:sz w:val="28"/>
          <w:szCs w:val="28"/>
          <w:shd w:val="clear" w:color="auto" w:fill="FFFFFF"/>
          <w:lang w:eastAsia="zh-CN"/>
        </w:rPr>
        <w:t>5</w:t>
      </w:r>
      <w:r>
        <w:rPr>
          <w:rFonts w:hint="eastAsia" w:ascii="微软雅黑" w:hAnsi="微软雅黑" w:eastAsia="微软雅黑"/>
          <w:b/>
          <w:bCs/>
          <w:color w:val="333333"/>
          <w:spacing w:val="27"/>
          <w:sz w:val="28"/>
          <w:szCs w:val="28"/>
          <w:shd w:val="clear" w:color="auto" w:fill="FFFFFF"/>
          <w:lang w:eastAsia="zh-CN"/>
        </w:rPr>
        <w:t>个</w:t>
      </w:r>
      <w:r>
        <w:rPr>
          <w:rFonts w:hint="eastAsia" w:ascii="微软雅黑" w:hAnsi="微软雅黑" w:eastAsia="微软雅黑"/>
          <w:color w:val="333333"/>
          <w:spacing w:val="27"/>
          <w:sz w:val="28"/>
          <w:szCs w:val="28"/>
          <w:shd w:val="clear" w:color="auto" w:fill="FFFFFF"/>
          <w:lang w:eastAsia="zh-CN"/>
        </w:rPr>
        <w:t>知识产权（一个知识产权对应一个科技成果）在近三年进行转化，才可以获得A档分数。</w:t>
      </w:r>
    </w:p>
    <w:p>
      <w:pPr>
        <w:ind w:firstLine="560" w:firstLineChars="200"/>
        <w:contextualSpacing/>
        <w:rPr>
          <w:rFonts w:ascii="微软雅黑" w:hAnsi="微软雅黑" w:eastAsia="微软雅黑" w:cs="宋体"/>
          <w:sz w:val="28"/>
          <w:szCs w:val="28"/>
          <w:lang w:eastAsia="zh-CN"/>
        </w:rPr>
      </w:pPr>
      <w:r>
        <w:rPr>
          <w:rFonts w:ascii="微软雅黑" w:hAnsi="微软雅黑" w:eastAsia="微软雅黑" w:cs="宋体"/>
          <w:sz w:val="28"/>
          <w:szCs w:val="28"/>
          <w:lang w:eastAsia="zh-CN"/>
        </w:rPr>
        <w:drawing>
          <wp:anchor distT="0" distB="0" distL="114300" distR="114300" simplePos="0" relativeHeight="251662336" behindDoc="1" locked="0" layoutInCell="1" allowOverlap="1">
            <wp:simplePos x="0" y="0"/>
            <wp:positionH relativeFrom="column">
              <wp:posOffset>4796155</wp:posOffset>
            </wp:positionH>
            <wp:positionV relativeFrom="paragraph">
              <wp:posOffset>74930</wp:posOffset>
            </wp:positionV>
            <wp:extent cx="1320800" cy="1320800"/>
            <wp:effectExtent l="0" t="0" r="0" b="0"/>
            <wp:wrapTight wrapText="bothSides">
              <wp:wrapPolygon>
                <wp:start x="0" y="0"/>
                <wp:lineTo x="0" y="21185"/>
                <wp:lineTo x="21185" y="21185"/>
                <wp:lineTo x="21185" y="0"/>
                <wp:lineTo x="0" y="0"/>
              </wp:wrapPolygon>
            </wp:wrapTight>
            <wp:docPr id="93102271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1022719" name="图片 3"/>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1320800" cy="1320800"/>
                    </a:xfrm>
                    <a:prstGeom prst="rect">
                      <a:avLst/>
                    </a:prstGeom>
                  </pic:spPr>
                </pic:pic>
              </a:graphicData>
            </a:graphic>
          </wp:anchor>
        </w:drawing>
      </w:r>
      <w:r>
        <w:rPr>
          <w:rFonts w:hint="eastAsia" w:ascii="微软雅黑" w:hAnsi="微软雅黑" w:eastAsia="微软雅黑" w:cs="宋体"/>
          <w:sz w:val="28"/>
          <w:szCs w:val="28"/>
          <w:lang w:eastAsia="zh-CN"/>
        </w:rPr>
        <w:t>2</w:t>
      </w:r>
      <w:r>
        <w:rPr>
          <w:rFonts w:ascii="微软雅黑" w:hAnsi="微软雅黑" w:eastAsia="微软雅黑" w:cs="宋体"/>
          <w:sz w:val="28"/>
          <w:szCs w:val="28"/>
          <w:lang w:eastAsia="zh-CN"/>
        </w:rPr>
        <w:t>.</w:t>
      </w:r>
      <w:r>
        <w:rPr>
          <w:rFonts w:hint="eastAsia" w:ascii="微软雅黑" w:hAnsi="微软雅黑" w:eastAsia="微软雅黑" w:cs="宋体"/>
          <w:sz w:val="28"/>
          <w:szCs w:val="28"/>
          <w:lang w:eastAsia="zh-CN"/>
        </w:rPr>
        <w:t>归集研发费用</w:t>
      </w:r>
    </w:p>
    <w:p>
      <w:pPr>
        <w:ind w:firstLine="560" w:firstLineChars="200"/>
        <w:contextualSpacing/>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企业须做好科技项目管理，做好</w:t>
      </w:r>
      <w:r>
        <w:rPr>
          <w:rFonts w:hint="eastAsia" w:ascii="微软雅黑" w:hAnsi="微软雅黑" w:eastAsia="微软雅黑" w:cs="宋体"/>
          <w:b/>
          <w:bCs/>
          <w:sz w:val="28"/>
          <w:szCs w:val="28"/>
          <w:lang w:eastAsia="zh-CN"/>
        </w:rPr>
        <w:t>研发费用辅助帐</w:t>
      </w:r>
      <w:r>
        <w:rPr>
          <w:rFonts w:hint="eastAsia" w:ascii="微软雅黑" w:hAnsi="微软雅黑" w:eastAsia="微软雅黑" w:cs="宋体"/>
          <w:sz w:val="28"/>
          <w:szCs w:val="28"/>
          <w:lang w:eastAsia="zh-CN"/>
        </w:rPr>
        <w:t>，合理归集高新技术企业认定口径的研发费用。</w:t>
      </w:r>
    </w:p>
    <w:p>
      <w:pPr>
        <w:ind w:firstLine="560" w:firstLineChars="200"/>
        <w:contextualSpacing/>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3</w:t>
      </w:r>
      <w:r>
        <w:rPr>
          <w:rFonts w:ascii="微软雅黑" w:hAnsi="微软雅黑" w:eastAsia="微软雅黑" w:cs="宋体"/>
          <w:sz w:val="28"/>
          <w:szCs w:val="28"/>
          <w:lang w:eastAsia="zh-CN"/>
        </w:rPr>
        <w:t>.</w:t>
      </w:r>
      <w:r>
        <w:rPr>
          <w:rFonts w:hint="eastAsia" w:ascii="微软雅黑" w:hAnsi="微软雅黑" w:eastAsia="微软雅黑" w:cs="宋体"/>
          <w:sz w:val="28"/>
          <w:szCs w:val="28"/>
          <w:lang w:eastAsia="zh-CN"/>
        </w:rPr>
        <w:t>部门协作提前筹划</w:t>
      </w:r>
    </w:p>
    <w:p>
      <w:pPr>
        <w:ind w:firstLine="560" w:firstLineChars="200"/>
        <w:contextualSpacing/>
        <w:rPr>
          <w:rFonts w:ascii="微软雅黑" w:hAnsi="微软雅黑" w:eastAsia="微软雅黑" w:cs="宋体"/>
          <w:sz w:val="28"/>
          <w:szCs w:val="28"/>
          <w:lang w:eastAsia="zh-CN"/>
        </w:rPr>
      </w:pPr>
      <w:r>
        <w:rPr>
          <w:rFonts w:hint="eastAsia" w:ascii="微软雅黑" w:hAnsi="微软雅黑" w:eastAsia="微软雅黑" w:cs="宋体"/>
          <w:sz w:val="28"/>
          <w:szCs w:val="28"/>
          <w:lang w:eastAsia="zh-CN"/>
        </w:rPr>
        <w:t>企业高层需要高度重视，统筹研发、财务、人事等部门，做好科技项目、科技人员、研发费用、高新技术产品收入等高新技术企业相关评价指标的管理和筹划工作，留存好相关证明材料。</w:t>
      </w:r>
    </w:p>
    <w:p>
      <w:pPr>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（二）高企申报和认定流程</w:t>
      </w:r>
    </w:p>
    <w:p>
      <w:pPr>
        <w:ind w:firstLine="560" w:firstLineChars="200"/>
        <w:contextualSpacing/>
        <w:rPr>
          <w:rFonts w:ascii="微软雅黑" w:hAnsi="微软雅黑" w:eastAsia="微软雅黑"/>
          <w:color w:val="333333"/>
          <w:spacing w:val="27"/>
          <w:sz w:val="28"/>
          <w:szCs w:val="32"/>
          <w:lang w:eastAsia="zh-CN"/>
        </w:rPr>
      </w:pPr>
      <w:r>
        <w:rPr>
          <w:rFonts w:hint="eastAsia" w:ascii="微软雅黑" w:hAnsi="微软雅黑" w:eastAsia="微软雅黑"/>
          <w:sz w:val="28"/>
          <w:szCs w:val="28"/>
          <w:lang w:eastAsia="zh-CN"/>
        </w:rPr>
        <w:t>1. 根据每年年初高新技术企业工作安排的通知，在</w:t>
      </w:r>
      <w:r>
        <w:rPr>
          <w:rFonts w:hint="eastAsia" w:ascii="微软雅黑" w:hAnsi="微软雅黑" w:eastAsia="微软雅黑"/>
          <w:b/>
          <w:bCs/>
          <w:sz w:val="28"/>
          <w:szCs w:val="28"/>
          <w:lang w:eastAsia="zh-CN"/>
        </w:rPr>
        <w:t>科技部政务服务平台</w:t>
      </w:r>
      <w:r>
        <w:rPr>
          <w:rFonts w:hint="eastAsia" w:ascii="微软雅黑" w:hAnsi="微软雅黑" w:eastAsia="微软雅黑"/>
          <w:sz w:val="28"/>
          <w:szCs w:val="28"/>
          <w:lang w:eastAsia="zh-CN"/>
        </w:rPr>
        <w:t>（fuwu.most.g</w:t>
      </w:r>
      <w:r>
        <w:rPr>
          <w:rFonts w:hint="eastAsia" w:ascii="微软雅黑" w:hAnsi="微软雅黑" w:eastAsia="微软雅黑"/>
          <w:color w:val="333333"/>
          <w:spacing w:val="27"/>
          <w:sz w:val="28"/>
          <w:szCs w:val="32"/>
          <w:lang w:eastAsia="zh-CN"/>
        </w:rPr>
        <w:t>ov.cn），选择“</w:t>
      </w:r>
      <w:r>
        <w:rPr>
          <w:rFonts w:hint="eastAsia" w:ascii="微软雅黑" w:hAnsi="微软雅黑" w:eastAsia="微软雅黑"/>
          <w:b/>
          <w:color w:val="333333"/>
          <w:spacing w:val="27"/>
          <w:sz w:val="28"/>
          <w:szCs w:val="32"/>
          <w:lang w:eastAsia="zh-CN"/>
        </w:rPr>
        <w:t>服务事项—高新技术企业认定</w:t>
      </w:r>
      <w:r>
        <w:rPr>
          <w:rFonts w:hint="eastAsia" w:ascii="微软雅黑" w:hAnsi="微软雅黑" w:eastAsia="微软雅黑"/>
          <w:color w:val="333333"/>
          <w:spacing w:val="27"/>
          <w:sz w:val="28"/>
          <w:szCs w:val="32"/>
          <w:lang w:eastAsia="zh-CN"/>
        </w:rPr>
        <w:t>”，点击“</w:t>
      </w:r>
      <w:r>
        <w:rPr>
          <w:rFonts w:hint="eastAsia" w:ascii="微软雅黑" w:hAnsi="微软雅黑" w:eastAsia="微软雅黑"/>
          <w:b/>
          <w:color w:val="333333"/>
          <w:spacing w:val="27"/>
          <w:sz w:val="28"/>
          <w:szCs w:val="32"/>
          <w:lang w:eastAsia="zh-CN"/>
        </w:rPr>
        <w:t>办理入口</w:t>
      </w:r>
      <w:r>
        <w:rPr>
          <w:rFonts w:hint="eastAsia" w:ascii="微软雅黑" w:hAnsi="微软雅黑" w:eastAsia="微软雅黑"/>
          <w:color w:val="333333"/>
          <w:spacing w:val="27"/>
          <w:sz w:val="28"/>
          <w:szCs w:val="32"/>
          <w:lang w:eastAsia="zh-CN"/>
        </w:rPr>
        <w:t>”，在线填报《高新技术企业认定申请书》及上传相关证明文件。</w:t>
      </w:r>
    </w:p>
    <w:p>
      <w:pPr>
        <w:ind w:firstLine="668" w:firstLineChars="200"/>
        <w:contextualSpacing/>
        <w:rPr>
          <w:rFonts w:ascii="Microsoft YaHei UI" w:hAnsi="Microsoft YaHei UI" w:eastAsia="Microsoft YaHei UI"/>
          <w:color w:val="333333"/>
          <w:spacing w:val="27"/>
          <w:sz w:val="28"/>
          <w:shd w:val="clear" w:color="auto" w:fill="FFFFFF"/>
          <w:lang w:eastAsia="zh-CN"/>
        </w:rPr>
      </w:pPr>
      <w:r>
        <w:rPr>
          <w:rFonts w:hint="eastAsia" w:ascii="微软雅黑" w:hAnsi="微软雅黑" w:eastAsia="微软雅黑"/>
          <w:color w:val="333333"/>
          <w:spacing w:val="27"/>
          <w:sz w:val="28"/>
          <w:szCs w:val="32"/>
          <w:lang w:eastAsia="zh-CN"/>
        </w:rPr>
        <w:t>2</w:t>
      </w:r>
      <w:r>
        <w:rPr>
          <w:rFonts w:ascii="微软雅黑" w:hAnsi="微软雅黑" w:eastAsia="微软雅黑"/>
          <w:color w:val="333333"/>
          <w:spacing w:val="27"/>
          <w:sz w:val="28"/>
          <w:szCs w:val="32"/>
          <w:lang w:eastAsia="zh-CN"/>
        </w:rPr>
        <w:t>.</w:t>
      </w:r>
      <w:r>
        <w:rPr>
          <w:rFonts w:hint="eastAsia" w:ascii="微软雅黑" w:hAnsi="微软雅黑" w:eastAsia="微软雅黑"/>
          <w:color w:val="333333"/>
          <w:spacing w:val="27"/>
          <w:sz w:val="28"/>
          <w:szCs w:val="32"/>
          <w:lang w:eastAsia="zh-CN"/>
        </w:rPr>
        <w:t>打印《高新技术企业认定申请书》及相关证明文件，</w:t>
      </w:r>
      <w:r>
        <w:rPr>
          <w:rFonts w:hint="eastAsia" w:ascii="微软雅黑" w:hAnsi="微软雅黑" w:eastAsia="微软雅黑"/>
          <w:b/>
          <w:bCs/>
          <w:color w:val="333333"/>
          <w:spacing w:val="27"/>
          <w:sz w:val="28"/>
          <w:szCs w:val="32"/>
          <w:lang w:eastAsia="zh-CN"/>
        </w:rPr>
        <w:t>提交一本包含专项审计报告原件的纸质材</w:t>
      </w:r>
      <w:r>
        <w:rPr>
          <w:rFonts w:hint="eastAsia" w:ascii="微软雅黑" w:hAnsi="微软雅黑" w:eastAsia="微软雅黑"/>
          <w:color w:val="333333"/>
          <w:spacing w:val="27"/>
          <w:sz w:val="28"/>
          <w:szCs w:val="32"/>
          <w:lang w:eastAsia="zh-CN"/>
        </w:rPr>
        <w:t>料</w:t>
      </w:r>
      <w:r>
        <w:rPr>
          <w:rFonts w:hint="eastAsia" w:ascii="微软雅黑" w:hAnsi="微软雅黑" w:eastAsia="微软雅黑"/>
          <w:color w:val="333333"/>
          <w:spacing w:val="27"/>
          <w:sz w:val="28"/>
          <w:szCs w:val="28"/>
          <w:shd w:val="clear" w:color="auto" w:fill="FFFFFF"/>
          <w:lang w:eastAsia="zh-CN"/>
        </w:rPr>
        <w:t>。</w:t>
      </w:r>
    </w:p>
    <w:p>
      <w:pPr>
        <w:pStyle w:val="3"/>
        <w:adjustRightInd w:val="0"/>
        <w:ind w:left="0" w:firstLine="668" w:firstLineChars="200"/>
        <w:contextualSpacing/>
        <w:jc w:val="both"/>
        <w:rPr>
          <w:rFonts w:ascii="微软雅黑" w:hAnsi="微软雅黑" w:eastAsia="微软雅黑"/>
          <w:b/>
          <w:color w:val="333333"/>
          <w:spacing w:val="27"/>
          <w:sz w:val="28"/>
          <w:szCs w:val="28"/>
          <w:shd w:val="clear" w:color="auto" w:fill="FFFFFF"/>
          <w:lang w:eastAsia="zh-CN"/>
        </w:rPr>
      </w:pPr>
      <w:r>
        <w:rPr>
          <w:rFonts w:ascii="微软雅黑" w:hAnsi="微软雅黑" w:eastAsia="微软雅黑"/>
          <w:color w:val="333333"/>
          <w:spacing w:val="27"/>
          <w:sz w:val="28"/>
          <w:szCs w:val="28"/>
          <w:shd w:val="clear" w:color="auto" w:fill="FFFFFF"/>
          <w:lang w:eastAsia="zh-CN"/>
        </w:rPr>
        <w:t>3</w:t>
      </w:r>
      <w:r>
        <w:rPr>
          <w:rFonts w:hint="eastAsia" w:ascii="微软雅黑" w:hAnsi="微软雅黑" w:eastAsia="微软雅黑"/>
          <w:color w:val="333333"/>
          <w:spacing w:val="27"/>
          <w:sz w:val="28"/>
          <w:szCs w:val="28"/>
          <w:shd w:val="clear" w:color="auto" w:fill="FFFFFF"/>
          <w:lang w:eastAsia="zh-CN"/>
        </w:rPr>
        <w:t>.我市科技管理部门对企业提供的申报材料进行</w:t>
      </w:r>
      <w:r>
        <w:rPr>
          <w:rFonts w:hint="eastAsia" w:ascii="微软雅黑" w:hAnsi="微软雅黑" w:eastAsia="微软雅黑"/>
          <w:b/>
          <w:bCs/>
          <w:color w:val="333333"/>
          <w:spacing w:val="27"/>
          <w:sz w:val="28"/>
          <w:szCs w:val="28"/>
          <w:shd w:val="clear" w:color="auto" w:fill="FFFFFF"/>
          <w:lang w:eastAsia="zh-CN"/>
        </w:rPr>
        <w:t>形式审核</w:t>
      </w:r>
      <w:r>
        <w:rPr>
          <w:rFonts w:hint="eastAsia" w:ascii="微软雅黑" w:hAnsi="微软雅黑" w:eastAsia="微软雅黑"/>
          <w:color w:val="333333"/>
          <w:spacing w:val="27"/>
          <w:sz w:val="28"/>
          <w:szCs w:val="28"/>
          <w:shd w:val="clear" w:color="auto" w:fill="FFFFFF"/>
          <w:lang w:eastAsia="zh-CN"/>
        </w:rPr>
        <w:t>和组织</w:t>
      </w:r>
      <w:r>
        <w:rPr>
          <w:rFonts w:hint="eastAsia" w:ascii="微软雅黑" w:hAnsi="微软雅黑" w:eastAsia="微软雅黑"/>
          <w:b/>
          <w:bCs/>
          <w:color w:val="333333"/>
          <w:spacing w:val="27"/>
          <w:sz w:val="28"/>
          <w:szCs w:val="28"/>
          <w:shd w:val="clear" w:color="auto" w:fill="FFFFFF"/>
          <w:lang w:eastAsia="zh-CN"/>
        </w:rPr>
        <w:t>专家评审</w:t>
      </w:r>
      <w:r>
        <w:rPr>
          <w:rFonts w:hint="eastAsia" w:ascii="微软雅黑" w:hAnsi="微软雅黑" w:eastAsia="微软雅黑"/>
          <w:color w:val="333333"/>
          <w:spacing w:val="27"/>
          <w:sz w:val="28"/>
          <w:szCs w:val="28"/>
          <w:shd w:val="clear" w:color="auto" w:fill="FFFFFF"/>
          <w:lang w:eastAsia="zh-CN"/>
        </w:rPr>
        <w:t>。经综合审查提出认定意见，由领导小组办公室在“高新技术企业认定管理工作网”</w:t>
      </w:r>
      <w:r>
        <w:rPr>
          <w:rFonts w:hint="eastAsia" w:ascii="微软雅黑" w:hAnsi="微软雅黑" w:eastAsia="微软雅黑"/>
          <w:b/>
          <w:color w:val="333333"/>
          <w:spacing w:val="27"/>
          <w:sz w:val="28"/>
          <w:szCs w:val="28"/>
          <w:shd w:val="clear" w:color="auto" w:fill="FFFFFF"/>
          <w:lang w:eastAsia="zh-CN"/>
        </w:rPr>
        <w:t>公示10个工作日</w:t>
      </w:r>
      <w:r>
        <w:rPr>
          <w:rFonts w:hint="eastAsia" w:ascii="微软雅黑" w:hAnsi="微软雅黑" w:eastAsia="微软雅黑"/>
          <w:bCs/>
          <w:color w:val="333333"/>
          <w:spacing w:val="27"/>
          <w:sz w:val="28"/>
          <w:szCs w:val="28"/>
          <w:shd w:val="clear" w:color="auto" w:fill="FFFFFF"/>
          <w:lang w:eastAsia="zh-CN"/>
        </w:rPr>
        <w:t>，无异议的，予以备案，并在</w:t>
      </w:r>
      <w:r>
        <w:rPr>
          <w:rFonts w:hint="eastAsia" w:ascii="微软雅黑" w:hAnsi="微软雅黑" w:eastAsia="微软雅黑"/>
          <w:color w:val="333333"/>
          <w:spacing w:val="27"/>
          <w:sz w:val="28"/>
          <w:szCs w:val="28"/>
          <w:shd w:val="clear" w:color="auto" w:fill="FFFFFF"/>
          <w:lang w:eastAsia="zh-CN"/>
        </w:rPr>
        <w:t>“高</w:t>
      </w:r>
      <w:r>
        <w:rPr>
          <w:rFonts w:ascii="微软雅黑" w:hAnsi="微软雅黑" w:eastAsia="微软雅黑"/>
          <w:color w:val="333333"/>
          <w:spacing w:val="27"/>
          <w:sz w:val="28"/>
          <w:szCs w:val="28"/>
          <w:shd w:val="clear" w:color="auto" w:fill="FFFFFF"/>
          <w:lang w:eastAsia="zh-CN"/>
        </w:rPr>
        <w:drawing>
          <wp:anchor distT="0" distB="0" distL="114300" distR="114300" simplePos="0" relativeHeight="251672576" behindDoc="0" locked="0" layoutInCell="1" allowOverlap="1">
            <wp:simplePos x="0" y="0"/>
            <wp:positionH relativeFrom="margin">
              <wp:posOffset>4631055</wp:posOffset>
            </wp:positionH>
            <wp:positionV relativeFrom="paragraph">
              <wp:posOffset>763270</wp:posOffset>
            </wp:positionV>
            <wp:extent cx="1562100" cy="1562100"/>
            <wp:effectExtent l="152400" t="152400" r="361950" b="361950"/>
            <wp:wrapSquare wrapText="bothSides"/>
            <wp:docPr id="178919254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89192543" name="图片 8"/>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1562100" cy="15621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微软雅黑" w:hAnsi="微软雅黑" w:eastAsia="微软雅黑"/>
          <w:color w:val="333333"/>
          <w:spacing w:val="27"/>
          <w:sz w:val="28"/>
          <w:szCs w:val="28"/>
          <w:shd w:val="clear" w:color="auto" w:fill="FFFFFF"/>
          <w:lang w:eastAsia="zh-CN"/>
        </w:rPr>
        <w:t>新技术企业认定管理工作网”</w:t>
      </w:r>
      <w:r>
        <w:rPr>
          <w:rFonts w:hint="eastAsia" w:ascii="微软雅黑" w:hAnsi="微软雅黑" w:eastAsia="微软雅黑"/>
          <w:b/>
          <w:bCs/>
          <w:color w:val="333333"/>
          <w:spacing w:val="27"/>
          <w:sz w:val="28"/>
          <w:szCs w:val="28"/>
          <w:shd w:val="clear" w:color="auto" w:fill="FFFFFF"/>
          <w:lang w:eastAsia="zh-CN"/>
        </w:rPr>
        <w:t>公告</w:t>
      </w:r>
      <w:r>
        <w:rPr>
          <w:rFonts w:hint="eastAsia" w:ascii="微软雅黑" w:hAnsi="微软雅黑" w:eastAsia="微软雅黑"/>
          <w:color w:val="333333"/>
          <w:spacing w:val="27"/>
          <w:sz w:val="28"/>
          <w:szCs w:val="28"/>
          <w:shd w:val="clear" w:color="auto" w:fill="FFFFFF"/>
          <w:lang w:eastAsia="zh-CN"/>
        </w:rPr>
        <w:t>。</w:t>
      </w:r>
    </w:p>
    <w:p>
      <w:pPr>
        <w:pStyle w:val="3"/>
        <w:adjustRightInd w:val="0"/>
        <w:ind w:left="0" w:firstLine="668" w:firstLineChars="200"/>
        <w:contextualSpacing/>
        <w:jc w:val="both"/>
        <w:rPr>
          <w:rFonts w:ascii="微软雅黑" w:hAnsi="微软雅黑" w:eastAsia="微软雅黑"/>
          <w:color w:val="333333"/>
          <w:spacing w:val="27"/>
          <w:sz w:val="28"/>
          <w:szCs w:val="28"/>
          <w:shd w:val="clear" w:color="auto" w:fill="FFFFFF"/>
          <w:lang w:eastAsia="zh-CN"/>
        </w:rPr>
      </w:pPr>
      <w:r>
        <w:rPr>
          <w:rFonts w:ascii="微软雅黑" w:hAnsi="微软雅黑" w:eastAsia="微软雅黑"/>
          <w:color w:val="333333"/>
          <w:spacing w:val="27"/>
          <w:sz w:val="28"/>
          <w:szCs w:val="28"/>
          <w:shd w:val="clear" w:color="auto" w:fill="FFFFFF"/>
          <w:lang w:eastAsia="zh-CN"/>
        </w:rPr>
        <w:t>4</w:t>
      </w:r>
      <w:r>
        <w:rPr>
          <w:rFonts w:hint="eastAsia" w:ascii="微软雅黑" w:hAnsi="微软雅黑" w:eastAsia="微软雅黑"/>
          <w:color w:val="333333"/>
          <w:spacing w:val="27"/>
          <w:sz w:val="28"/>
          <w:szCs w:val="28"/>
          <w:shd w:val="clear" w:color="auto" w:fill="FFFFFF"/>
          <w:lang w:eastAsia="zh-CN"/>
        </w:rPr>
        <w:t>.颁发</w:t>
      </w:r>
      <w:r>
        <w:rPr>
          <w:rFonts w:hint="eastAsia" w:ascii="微软雅黑" w:hAnsi="微软雅黑" w:eastAsia="微软雅黑"/>
          <w:b/>
          <w:bCs/>
          <w:color w:val="333333"/>
          <w:spacing w:val="27"/>
          <w:sz w:val="28"/>
          <w:szCs w:val="28"/>
          <w:shd w:val="clear" w:color="auto" w:fill="FFFFFF"/>
          <w:lang w:eastAsia="zh-CN"/>
        </w:rPr>
        <w:t>“高新技术企业证书”。</w:t>
      </w:r>
    </w:p>
    <w:p>
      <w:pPr>
        <w:pStyle w:val="3"/>
        <w:adjustRightInd w:val="0"/>
        <w:ind w:left="0" w:firstLine="668" w:firstLineChars="200"/>
        <w:contextualSpacing/>
        <w:rPr>
          <w:rFonts w:ascii="微软雅黑" w:hAnsi="微软雅黑" w:eastAsia="微软雅黑"/>
          <w:color w:val="333333"/>
          <w:spacing w:val="27"/>
          <w:sz w:val="28"/>
          <w:szCs w:val="28"/>
          <w:shd w:val="clear" w:color="auto" w:fill="FFFFFF"/>
          <w:lang w:eastAsia="zh-CN"/>
        </w:rPr>
      </w:pPr>
      <w:r>
        <w:rPr>
          <w:rFonts w:hint="eastAsia" w:ascii="微软雅黑" w:hAnsi="微软雅黑" w:eastAsia="微软雅黑"/>
          <w:color w:val="333333"/>
          <w:spacing w:val="27"/>
          <w:sz w:val="28"/>
          <w:szCs w:val="28"/>
          <w:shd w:val="clear" w:color="auto" w:fill="FFFFFF"/>
          <w:lang w:eastAsia="zh-CN"/>
        </w:rPr>
        <w:t>5</w:t>
      </w:r>
      <w:r>
        <w:rPr>
          <w:rFonts w:ascii="微软雅黑" w:hAnsi="微软雅黑" w:eastAsia="微软雅黑"/>
          <w:color w:val="333333"/>
          <w:spacing w:val="27"/>
          <w:sz w:val="28"/>
          <w:szCs w:val="28"/>
          <w:shd w:val="clear" w:color="auto" w:fill="FFFFFF"/>
          <w:lang w:eastAsia="zh-CN"/>
        </w:rPr>
        <w:t>.</w:t>
      </w:r>
      <w:r>
        <w:rPr>
          <w:rFonts w:hint="eastAsia" w:ascii="微软雅黑" w:hAnsi="微软雅黑" w:eastAsia="微软雅黑"/>
          <w:bCs/>
          <w:color w:val="333333"/>
          <w:spacing w:val="27"/>
          <w:sz w:val="28"/>
          <w:lang w:eastAsia="zh-CN"/>
        </w:rPr>
        <w:t>在“天津经济技术开发区政务服务平台”（</w:t>
      </w:r>
      <w:r>
        <w:fldChar w:fldCharType="begin"/>
      </w:r>
      <w:r>
        <w:instrText xml:space="preserve"> HYPERLINK "http://www.teda.gov.cn" </w:instrText>
      </w:r>
      <w:r>
        <w:fldChar w:fldCharType="separate"/>
      </w:r>
      <w:r>
        <w:rPr>
          <w:rStyle w:val="16"/>
          <w:rFonts w:hint="eastAsia" w:ascii="微软雅黑" w:hAnsi="微软雅黑" w:eastAsia="微软雅黑"/>
          <w:bCs/>
          <w:spacing w:val="27"/>
          <w:sz w:val="28"/>
          <w:lang w:eastAsia="zh-CN"/>
        </w:rPr>
        <w:t>www.teda.gov.cn</w:t>
      </w:r>
      <w:r>
        <w:rPr>
          <w:rStyle w:val="16"/>
          <w:rFonts w:hint="eastAsia" w:ascii="微软雅黑" w:hAnsi="微软雅黑" w:eastAsia="微软雅黑"/>
          <w:bCs/>
          <w:spacing w:val="27"/>
          <w:sz w:val="28"/>
          <w:lang w:eastAsia="zh-CN"/>
        </w:rPr>
        <w:fldChar w:fldCharType="end"/>
      </w:r>
      <w:r>
        <w:rPr>
          <w:rFonts w:hint="eastAsia" w:ascii="微软雅黑" w:hAnsi="微软雅黑" w:eastAsia="微软雅黑"/>
          <w:bCs/>
          <w:color w:val="333333"/>
          <w:spacing w:val="27"/>
          <w:sz w:val="28"/>
          <w:lang w:eastAsia="zh-CN"/>
        </w:rPr>
        <w:t xml:space="preserve"> ）按“政策兑现”流程</w:t>
      </w:r>
      <w:r>
        <w:rPr>
          <w:rFonts w:hint="eastAsia" w:ascii="微软雅黑" w:hAnsi="微软雅黑" w:eastAsia="微软雅黑"/>
          <w:color w:val="333333"/>
          <w:spacing w:val="27"/>
          <w:sz w:val="28"/>
          <w:szCs w:val="28"/>
          <w:shd w:val="clear" w:color="auto" w:fill="FFFFFF"/>
          <w:lang w:eastAsia="zh-CN"/>
        </w:rPr>
        <w:t>申报</w:t>
      </w:r>
      <w:r>
        <w:rPr>
          <w:rFonts w:hint="eastAsia" w:ascii="微软雅黑" w:hAnsi="微软雅黑" w:eastAsia="微软雅黑"/>
          <w:b/>
          <w:bCs/>
          <w:color w:val="333333"/>
          <w:spacing w:val="27"/>
          <w:sz w:val="28"/>
          <w:szCs w:val="28"/>
          <w:shd w:val="clear" w:color="auto" w:fill="FFFFFF"/>
          <w:lang w:eastAsia="zh-CN"/>
        </w:rPr>
        <w:t>高企认定奖励</w:t>
      </w:r>
      <w:r>
        <w:rPr>
          <w:rFonts w:hint="eastAsia" w:ascii="微软雅黑" w:hAnsi="微软雅黑" w:eastAsia="微软雅黑"/>
          <w:color w:val="333333"/>
          <w:spacing w:val="27"/>
          <w:sz w:val="28"/>
          <w:szCs w:val="28"/>
          <w:shd w:val="clear" w:color="auto" w:fill="FFFFFF"/>
          <w:lang w:eastAsia="zh-CN"/>
        </w:rPr>
        <w:t>。</w:t>
      </w:r>
    </w:p>
    <w:p>
      <w:pPr>
        <w:widowControl/>
        <w:ind w:firstLine="668" w:firstLineChars="200"/>
        <w:rPr>
          <w:rFonts w:ascii="微软雅黑" w:hAnsi="微软雅黑" w:eastAsia="微软雅黑" w:cs="宋体"/>
          <w:bCs/>
          <w:color w:val="333333"/>
          <w:spacing w:val="27"/>
          <w:sz w:val="28"/>
          <w:szCs w:val="32"/>
          <w:lang w:eastAsia="zh-CN"/>
        </w:rPr>
      </w:pPr>
    </w:p>
    <w:p>
      <w:pPr>
        <w:pStyle w:val="8"/>
        <w:spacing w:before="0" w:beforeAutospacing="0" w:after="0" w:afterAutospacing="0"/>
        <w:jc w:val="both"/>
        <w:rPr>
          <w:rStyle w:val="14"/>
          <w:rFonts w:ascii="微软雅黑" w:hAnsi="微软雅黑" w:eastAsia="微软雅黑" w:cs="Times New Roman"/>
          <w:color w:val="215ACF"/>
          <w:spacing w:val="27"/>
          <w:sz w:val="28"/>
          <w:szCs w:val="32"/>
        </w:rPr>
      </w:pPr>
      <w:r>
        <w:rPr>
          <w:rStyle w:val="14"/>
          <w:rFonts w:hint="eastAsia" w:ascii="微软雅黑" w:hAnsi="微软雅黑" w:eastAsia="微软雅黑" w:cs="Times New Roman"/>
          <w:color w:val="215ACF"/>
          <w:spacing w:val="27"/>
          <w:sz w:val="28"/>
          <w:szCs w:val="32"/>
        </w:rPr>
        <w:t>七、获得高企后的注意事项</w:t>
      </w:r>
    </w:p>
    <w:p>
      <w:pPr>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（一）年报</w:t>
      </w:r>
    </w:p>
    <w:p>
      <w:pPr>
        <w:pStyle w:val="8"/>
        <w:spacing w:before="0" w:beforeAutospacing="0" w:after="0" w:afterAutospacing="0"/>
        <w:ind w:firstLine="668" w:firstLineChars="200"/>
        <w:jc w:val="both"/>
        <w:rPr>
          <w:rFonts w:ascii="微软雅黑" w:hAnsi="微软雅黑" w:eastAsia="微软雅黑"/>
          <w:bCs/>
          <w:color w:val="333333"/>
          <w:spacing w:val="27"/>
          <w:sz w:val="28"/>
          <w:szCs w:val="32"/>
        </w:rPr>
      </w:pPr>
      <w:r>
        <w:rPr>
          <w:rFonts w:hint="eastAsia" w:ascii="微软雅黑" w:hAnsi="微软雅黑" w:eastAsia="微软雅黑"/>
          <w:bCs/>
          <w:color w:val="333333"/>
          <w:spacing w:val="27"/>
          <w:sz w:val="28"/>
          <w:szCs w:val="32"/>
        </w:rPr>
        <w:t>企业获得高新技术企业资格后，应</w:t>
      </w:r>
      <w:r>
        <w:rPr>
          <w:rFonts w:hint="eastAsia" w:ascii="微软雅黑" w:hAnsi="微软雅黑" w:eastAsia="微软雅黑"/>
          <w:b/>
          <w:color w:val="333333"/>
          <w:spacing w:val="27"/>
          <w:sz w:val="28"/>
          <w:szCs w:val="32"/>
        </w:rPr>
        <w:t>每年5月底前</w:t>
      </w:r>
      <w:r>
        <w:rPr>
          <w:rFonts w:hint="eastAsia" w:ascii="微软雅黑" w:hAnsi="微软雅黑" w:eastAsia="微软雅黑"/>
          <w:bCs/>
          <w:color w:val="333333"/>
          <w:spacing w:val="27"/>
          <w:sz w:val="28"/>
          <w:szCs w:val="32"/>
        </w:rPr>
        <w:t>填报上一年度知识产权、科技人员、研发费用、经营收入等年度发展情况报表。</w:t>
      </w:r>
    </w:p>
    <w:p>
      <w:pPr>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（二）有效期</w:t>
      </w:r>
    </w:p>
    <w:p>
      <w:pPr>
        <w:pStyle w:val="8"/>
        <w:spacing w:before="0" w:beforeAutospacing="0" w:after="0" w:afterAutospacing="0"/>
        <w:ind w:firstLine="668" w:firstLineChars="200"/>
        <w:jc w:val="both"/>
        <w:rPr>
          <w:rFonts w:ascii="微软雅黑" w:hAnsi="微软雅黑" w:eastAsia="微软雅黑"/>
          <w:bCs/>
          <w:color w:val="333333"/>
          <w:spacing w:val="27"/>
          <w:sz w:val="28"/>
          <w:szCs w:val="32"/>
        </w:rPr>
      </w:pPr>
      <w:r>
        <w:rPr>
          <w:rFonts w:ascii="微软雅黑" w:hAnsi="微软雅黑" w:eastAsia="微软雅黑"/>
          <w:bCs/>
          <w:color w:val="333333"/>
          <w:spacing w:val="27"/>
          <w:sz w:val="28"/>
          <w:szCs w:val="32"/>
        </w:rPr>
        <w:t>高新技术企业有效期为三年，</w:t>
      </w:r>
      <w:r>
        <w:rPr>
          <w:rFonts w:hint="eastAsia" w:ascii="微软雅黑" w:hAnsi="微软雅黑" w:eastAsia="微软雅黑"/>
          <w:bCs/>
          <w:color w:val="333333"/>
          <w:spacing w:val="27"/>
          <w:sz w:val="28"/>
          <w:szCs w:val="32"/>
        </w:rPr>
        <w:t>为连续享受高企政策，须</w:t>
      </w:r>
      <w:r>
        <w:rPr>
          <w:rFonts w:ascii="微软雅黑" w:hAnsi="微软雅黑" w:eastAsia="微软雅黑"/>
          <w:bCs/>
          <w:color w:val="333333"/>
          <w:spacing w:val="27"/>
          <w:sz w:val="28"/>
          <w:szCs w:val="32"/>
        </w:rPr>
        <w:t>在证书有效期的最后一年</w:t>
      </w:r>
      <w:r>
        <w:rPr>
          <w:rFonts w:hint="eastAsia" w:ascii="微软雅黑" w:hAnsi="微软雅黑" w:eastAsia="微软雅黑"/>
          <w:bCs/>
          <w:color w:val="333333"/>
          <w:spacing w:val="27"/>
          <w:sz w:val="28"/>
          <w:szCs w:val="32"/>
        </w:rPr>
        <w:t>当年再次进行高企认定。</w:t>
      </w:r>
    </w:p>
    <w:p>
      <w:pPr>
        <w:pStyle w:val="8"/>
        <w:spacing w:before="0" w:beforeAutospacing="0" w:after="0" w:afterAutospacing="0"/>
        <w:ind w:firstLine="668" w:firstLineChars="200"/>
        <w:jc w:val="both"/>
        <w:rPr>
          <w:rFonts w:ascii="微软雅黑" w:hAnsi="微软雅黑" w:eastAsia="微软雅黑"/>
          <w:bCs/>
          <w:color w:val="333333"/>
          <w:spacing w:val="27"/>
          <w:sz w:val="28"/>
          <w:szCs w:val="32"/>
        </w:rPr>
      </w:pPr>
    </w:p>
    <w:p>
      <w:pPr>
        <w:pStyle w:val="8"/>
        <w:spacing w:before="0" w:beforeAutospacing="0" w:after="0" w:afterAutospacing="0"/>
        <w:jc w:val="both"/>
        <w:rPr>
          <w:rStyle w:val="14"/>
          <w:rFonts w:ascii="微软雅黑" w:hAnsi="微软雅黑" w:eastAsia="微软雅黑" w:cs="Times New Roman"/>
          <w:color w:val="215ACF"/>
          <w:spacing w:val="27"/>
          <w:sz w:val="28"/>
          <w:szCs w:val="32"/>
        </w:rPr>
      </w:pPr>
      <w:r>
        <w:rPr>
          <w:rStyle w:val="14"/>
          <w:rFonts w:hint="eastAsia" w:ascii="微软雅黑" w:hAnsi="微软雅黑" w:eastAsia="微软雅黑" w:cs="Times New Roman"/>
          <w:color w:val="215ACF"/>
          <w:spacing w:val="27"/>
          <w:sz w:val="28"/>
          <w:szCs w:val="32"/>
        </w:rPr>
        <w:t>八、高新技术企业认定依据文件</w:t>
      </w:r>
    </w:p>
    <w:p>
      <w:pPr>
        <w:pStyle w:val="8"/>
        <w:spacing w:before="0" w:beforeAutospacing="0" w:after="0" w:afterAutospacing="0"/>
        <w:ind w:firstLine="670" w:firstLineChars="200"/>
        <w:jc w:val="both"/>
        <w:rPr>
          <w:rStyle w:val="14"/>
          <w:rFonts w:ascii="微软雅黑" w:hAnsi="微软雅黑" w:eastAsia="微软雅黑"/>
          <w:color w:val="215ACF"/>
          <w:spacing w:val="27"/>
          <w:sz w:val="28"/>
          <w:szCs w:val="32"/>
        </w:rPr>
      </w:pPr>
    </w:p>
    <w:p>
      <w:pPr>
        <w:pStyle w:val="8"/>
        <w:spacing w:before="0" w:beforeAutospacing="0" w:after="0" w:afterAutospacing="0"/>
        <w:ind w:firstLine="1675" w:firstLineChars="500"/>
        <w:jc w:val="both"/>
        <w:rPr>
          <w:rStyle w:val="14"/>
          <w:rFonts w:ascii="微软雅黑" w:hAnsi="微软雅黑" w:eastAsia="微软雅黑"/>
          <w:color w:val="215ACF"/>
          <w:spacing w:val="27"/>
          <w:sz w:val="28"/>
          <w:szCs w:val="32"/>
        </w:rPr>
      </w:pPr>
      <w:r>
        <w:rPr>
          <w:rStyle w:val="14"/>
          <w:rFonts w:ascii="微软雅黑" w:hAnsi="微软雅黑" w:eastAsia="微软雅黑"/>
          <w:color w:val="215ACF"/>
          <w:spacing w:val="27"/>
          <w:sz w:val="28"/>
          <w:szCs w:val="32"/>
        </w:rPr>
        <w:drawing>
          <wp:inline distT="0" distB="0" distL="0" distR="0">
            <wp:extent cx="1367790" cy="1367790"/>
            <wp:effectExtent l="0" t="0" r="3810" b="381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1367790" cy="1367790"/>
                    </a:xfrm>
                    <a:prstGeom prst="rect">
                      <a:avLst/>
                    </a:prstGeom>
                    <a:noFill/>
                  </pic:spPr>
                </pic:pic>
              </a:graphicData>
            </a:graphic>
          </wp:inline>
        </w:drawing>
      </w:r>
      <w:r>
        <w:rPr>
          <w:rFonts w:ascii="微软雅黑" w:hAnsi="微软雅黑" w:eastAsia="微软雅黑"/>
          <w:b/>
          <w:bCs/>
          <w:color w:val="215ACF"/>
          <w:spacing w:val="27"/>
          <w:sz w:val="28"/>
          <w:szCs w:val="32"/>
        </w:rPr>
        <w:drawing>
          <wp:anchor distT="0" distB="0" distL="114300" distR="114300" simplePos="0" relativeHeight="251658240" behindDoc="1" locked="0" layoutInCell="1" allowOverlap="1">
            <wp:simplePos x="0" y="0"/>
            <wp:positionH relativeFrom="column">
              <wp:posOffset>3566795</wp:posOffset>
            </wp:positionH>
            <wp:positionV relativeFrom="paragraph">
              <wp:posOffset>8255</wp:posOffset>
            </wp:positionV>
            <wp:extent cx="1365250" cy="1367790"/>
            <wp:effectExtent l="0" t="0" r="6350" b="3810"/>
            <wp:wrapTight wrapText="bothSides">
              <wp:wrapPolygon>
                <wp:start x="0" y="0"/>
                <wp:lineTo x="0" y="21259"/>
                <wp:lineTo x="21299" y="21259"/>
                <wp:lineTo x="21299" y="0"/>
                <wp:lineTo x="0" y="0"/>
              </wp:wrapPolygon>
            </wp:wrapTight>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1365250" cy="1367790"/>
                    </a:xfrm>
                    <a:prstGeom prst="rect">
                      <a:avLst/>
                    </a:prstGeom>
                    <a:noFill/>
                    <a:ln>
                      <a:noFill/>
                    </a:ln>
                  </pic:spPr>
                </pic:pic>
              </a:graphicData>
            </a:graphic>
          </wp:anchor>
        </w:drawing>
      </w:r>
    </w:p>
    <w:p>
      <w:pPr>
        <w:pStyle w:val="8"/>
        <w:spacing w:before="0" w:beforeAutospacing="0" w:after="0" w:afterAutospacing="0" w:line="360" w:lineRule="auto"/>
        <w:jc w:val="both"/>
        <w:rPr>
          <w:rStyle w:val="16"/>
          <w:rFonts w:hAnsi="微软雅黑" w:cs="楷体_GB2312"/>
          <w:b/>
          <w:color w:val="auto"/>
          <w:u w:val="none"/>
        </w:rPr>
      </w:pPr>
      <w:r>
        <w:rPr>
          <w:rStyle w:val="16"/>
          <w:color w:val="auto"/>
          <w:u w:val="none"/>
        </w:rPr>
        <mc:AlternateContent>
          <mc:Choice Requires="wps">
            <w:drawing>
              <wp:anchor distT="45720" distB="45720" distL="114300" distR="114300" simplePos="0" relativeHeight="251663360" behindDoc="0" locked="0" layoutInCell="1" allowOverlap="1">
                <wp:simplePos x="0" y="0"/>
                <wp:positionH relativeFrom="margin">
                  <wp:posOffset>3005455</wp:posOffset>
                </wp:positionH>
                <wp:positionV relativeFrom="paragraph">
                  <wp:posOffset>184785</wp:posOffset>
                </wp:positionV>
                <wp:extent cx="2748280" cy="293370"/>
                <wp:effectExtent l="0" t="0" r="20320" b="11430"/>
                <wp:wrapSquare wrapText="bothSides"/>
                <wp:docPr id="101197979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748280" cy="293370"/>
                        </a:xfrm>
                        <a:prstGeom prst="rect">
                          <a:avLst/>
                        </a:prstGeom>
                        <a:solidFill>
                          <a:srgbClr val="FFFFFF"/>
                        </a:solidFill>
                        <a:ln>
                          <a:noFill/>
                        </a:ln>
                      </wps:spPr>
                      <wps:txbx>
                        <w:txbxContent>
                          <w:p>
                            <w:pPr>
                              <w:pStyle w:val="8"/>
                              <w:spacing w:before="0" w:beforeAutospacing="0" w:after="0" w:afterAutospacing="0"/>
                              <w:jc w:val="both"/>
                              <w:rPr>
                                <w:b/>
                                <w:sz w:val="20"/>
                              </w:rPr>
                            </w:pPr>
                            <w:r>
                              <w:rPr>
                                <w:rStyle w:val="16"/>
                                <w:rFonts w:hint="eastAsia" w:ascii="微软雅黑" w:hAnsi="微软雅黑" w:eastAsia="微软雅黑"/>
                                <w:b/>
                                <w:color w:val="auto"/>
                                <w:spacing w:val="27"/>
                                <w:sz w:val="21"/>
                                <w:szCs w:val="32"/>
                                <w:u w:val="none"/>
                              </w:rPr>
                              <w:t>《高新技术企业认定管理工作指引》</w:t>
                            </w:r>
                          </w:p>
                        </w:txbxContent>
                      </wps:txbx>
                      <wps:bodyPr rot="0" vert="horz" wrap="square" lIns="91440" tIns="45720" rIns="91440" bIns="45720" anchor="t" anchorCtr="false" upright="true">
                        <a:noAutofit/>
                      </wps:bodyPr>
                    </wps:wsp>
                  </a:graphicData>
                </a:graphic>
              </wp:anchor>
            </w:drawing>
          </mc:Choice>
          <mc:Fallback>
            <w:pict>
              <v:shape id="文本框 2" o:spid="_x0000_s1026" o:spt="202" type="#_x0000_t202" style="position:absolute;left:0pt;margin-left:236.65pt;margin-top:14.55pt;height:23.1pt;width:216.4pt;mso-position-horizontal-relative:margin;mso-wrap-distance-bottom:3.6pt;mso-wrap-distance-left:9pt;mso-wrap-distance-right:9pt;mso-wrap-distance-top:3.6pt;z-index:251663360;mso-width-relative:page;mso-height-relative:page;" fillcolor="#FFFFFF" filled="t" stroked="f" coordsize="21600,21600" o:gfxdata="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LThzq3YAAAACQEAAA8AAAAAAAAAAQAgAAAAOAAAAGRycy9kb3ducmV2Lnht&#10;bFBLAQIUABQAAAAIAIdO4kBsfnaFHAIAAAYEAAAOAAAAAAAAAAEAIAAAAD0BAABkcnMvZTJvRG9j&#10;LnhtbFBLBQYAAAAABgAGAFkBAADLBQAAAAA=&#10;">
                <v:fill on="t" focussize="0,0"/>
                <v:stroke on="f"/>
                <v:imagedata o:title=""/>
                <o:lock v:ext="edit" aspectratio="f"/>
                <v:textbox>
                  <w:txbxContent>
                    <w:p>
                      <w:pPr>
                        <w:pStyle w:val="8"/>
                        <w:spacing w:before="0" w:beforeAutospacing="0" w:after="0" w:afterAutospacing="0"/>
                        <w:jc w:val="both"/>
                        <w:rPr>
                          <w:b/>
                          <w:sz w:val="20"/>
                        </w:rPr>
                      </w:pPr>
                      <w:r>
                        <w:rPr>
                          <w:rStyle w:val="16"/>
                          <w:rFonts w:hint="eastAsia" w:ascii="微软雅黑" w:hAnsi="微软雅黑" w:eastAsia="微软雅黑"/>
                          <w:b/>
                          <w:color w:val="auto"/>
                          <w:spacing w:val="27"/>
                          <w:sz w:val="21"/>
                          <w:szCs w:val="32"/>
                          <w:u w:val="none"/>
                        </w:rPr>
                        <w:t>《高新技术企业认定管理工作指引》</w:t>
                      </w:r>
                    </w:p>
                  </w:txbxContent>
                </v:textbox>
                <w10:wrap type="square"/>
              </v:shape>
            </w:pict>
          </mc:Fallback>
        </mc:AlternateContent>
      </w:r>
      <w:r>
        <w:rPr>
          <w:rFonts w:ascii="微软雅黑" w:hAnsi="微软雅黑" w:eastAsia="微软雅黑"/>
          <w:spacing w:val="27"/>
          <w:sz w:val="28"/>
          <w:szCs w:val="32"/>
        </w:rPr>
        <mc:AlternateContent>
          <mc:Choice Requires="wps">
            <w:drawing>
              <wp:anchor distT="45720" distB="45720" distL="114300" distR="114300" simplePos="0" relativeHeight="251664384" behindDoc="0" locked="0" layoutInCell="1" allowOverlap="1">
                <wp:simplePos x="0" y="0"/>
                <wp:positionH relativeFrom="margin">
                  <wp:posOffset>377825</wp:posOffset>
                </wp:positionH>
                <wp:positionV relativeFrom="paragraph">
                  <wp:posOffset>175895</wp:posOffset>
                </wp:positionV>
                <wp:extent cx="2456815" cy="318770"/>
                <wp:effectExtent l="0" t="0" r="6985" b="11430"/>
                <wp:wrapSquare wrapText="bothSides"/>
                <wp:docPr id="13"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2456815" cy="318770"/>
                        </a:xfrm>
                        <a:prstGeom prst="rect">
                          <a:avLst/>
                        </a:prstGeom>
                        <a:solidFill>
                          <a:srgbClr val="FFFFFF"/>
                        </a:solidFill>
                        <a:ln w="9525">
                          <a:noFill/>
                          <a:miter lim="800000"/>
                        </a:ln>
                      </wps:spPr>
                      <wps:txbx>
                        <w:txbxContent>
                          <w:p>
                            <w:pPr>
                              <w:pStyle w:val="8"/>
                              <w:spacing w:before="0" w:beforeAutospacing="0" w:after="0" w:afterAutospacing="0"/>
                              <w:jc w:val="both"/>
                              <w:rPr>
                                <w:b/>
                                <w:sz w:val="20"/>
                              </w:rPr>
                            </w:pPr>
                            <w:r>
                              <w:rPr>
                                <w:rStyle w:val="16"/>
                                <w:rFonts w:hint="eastAsia" w:ascii="微软雅黑" w:hAnsi="微软雅黑" w:eastAsia="微软雅黑"/>
                                <w:b/>
                                <w:color w:val="auto"/>
                                <w:spacing w:val="27"/>
                                <w:sz w:val="21"/>
                                <w:szCs w:val="32"/>
                                <w:u w:val="none"/>
                              </w:rPr>
                              <w:t>《高新技术企业认定管理办法》</w:t>
                            </w:r>
                          </w:p>
                        </w:txbxContent>
                      </wps:txbx>
                      <wps:bodyPr rot="0" vert="horz" wrap="square" lIns="91440" tIns="45720" rIns="91440" bIns="45720" anchor="t" anchorCtr="false">
                        <a:noAutofit/>
                      </wps:bodyPr>
                    </wps:wsp>
                  </a:graphicData>
                </a:graphic>
              </wp:anchor>
            </w:drawing>
          </mc:Choice>
          <mc:Fallback>
            <w:pict>
              <v:shape id="文本框 2" o:spid="_x0000_s1026" o:spt="202" type="#_x0000_t202" style="position:absolute;left:0pt;margin-left:29.75pt;margin-top:13.85pt;height:25.1pt;width:193.45pt;mso-position-horizontal-relative:margin;mso-wrap-distance-bottom:3.6pt;mso-wrap-distance-left:9pt;mso-wrap-distance-right:9pt;mso-wrap-distance-top:3.6pt;z-index:251664384;mso-width-relative:page;mso-height-relative:page;" fillcolor="#FFFFFF" filled="t" stroked="f" coordsize="21600,21600" o:gfxdata="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w3ZHU9YAAAAIAQAADwAAAAAAAAABACAAAAA4AAAAZHJzL2Rv&#10;d25yZXYueG1sUEsBAhQAFAAAAAgAh07iQEDU3Z0mAgAADwQAAA4AAAAAAAAAAQAgAAAAOwEAAGRy&#10;cy9lMm9Eb2MueG1sUEsFBgAAAAAGAAYAWQEAANMFAAAAAA==&#10;">
                <v:fill on="t" focussize="0,0"/>
                <v:stroke on="f" miterlimit="8" joinstyle="miter"/>
                <v:imagedata o:title=""/>
                <o:lock v:ext="edit" aspectratio="f"/>
                <v:textbox>
                  <w:txbxContent>
                    <w:p>
                      <w:pPr>
                        <w:pStyle w:val="8"/>
                        <w:spacing w:before="0" w:beforeAutospacing="0" w:after="0" w:afterAutospacing="0"/>
                        <w:jc w:val="both"/>
                        <w:rPr>
                          <w:b/>
                          <w:sz w:val="20"/>
                        </w:rPr>
                      </w:pPr>
                      <w:r>
                        <w:rPr>
                          <w:rStyle w:val="16"/>
                          <w:rFonts w:hint="eastAsia" w:ascii="微软雅黑" w:hAnsi="微软雅黑" w:eastAsia="微软雅黑"/>
                          <w:b/>
                          <w:color w:val="auto"/>
                          <w:spacing w:val="27"/>
                          <w:sz w:val="21"/>
                          <w:szCs w:val="32"/>
                          <w:u w:val="none"/>
                        </w:rPr>
                        <w:t>《高新技术企业认定管理办法》</w:t>
                      </w:r>
                    </w:p>
                  </w:txbxContent>
                </v:textbox>
                <w10:wrap type="square"/>
              </v:shape>
            </w:pict>
          </mc:Fallback>
        </mc:AlternateContent>
      </w:r>
    </w:p>
    <w:p>
      <w:pPr>
        <w:pStyle w:val="8"/>
        <w:spacing w:before="0" w:beforeAutospacing="0" w:after="0" w:afterAutospacing="0"/>
        <w:ind w:firstLine="670" w:firstLineChars="200"/>
        <w:jc w:val="both"/>
        <w:rPr>
          <w:rStyle w:val="14"/>
          <w:rFonts w:ascii="微软雅黑" w:hAnsi="微软雅黑" w:eastAsia="微软雅黑"/>
          <w:color w:val="215ACF"/>
          <w:spacing w:val="27"/>
          <w:sz w:val="28"/>
          <w:szCs w:val="32"/>
        </w:rPr>
      </w:pPr>
    </w:p>
    <w:p>
      <w:pPr>
        <w:pStyle w:val="8"/>
        <w:spacing w:before="0" w:beforeAutospacing="0" w:after="0" w:afterAutospacing="0"/>
        <w:jc w:val="both"/>
        <w:rPr>
          <w:rStyle w:val="14"/>
          <w:rFonts w:ascii="微软雅黑" w:hAnsi="微软雅黑" w:eastAsia="微软雅黑" w:cs="Times New Roman"/>
          <w:color w:val="215ACF"/>
          <w:spacing w:val="27"/>
          <w:sz w:val="28"/>
          <w:szCs w:val="32"/>
        </w:rPr>
      </w:pPr>
      <w:r>
        <w:rPr>
          <w:rStyle w:val="14"/>
          <w:rFonts w:hint="eastAsia" w:ascii="微软雅黑" w:hAnsi="微软雅黑" w:eastAsia="微软雅黑" w:cs="Times New Roman"/>
          <w:color w:val="215ACF"/>
          <w:spacing w:val="27"/>
          <w:sz w:val="28"/>
          <w:szCs w:val="32"/>
        </w:rPr>
        <w:t>九、经开区科技局联系方式</w:t>
      </w:r>
    </w:p>
    <w:p>
      <w:pPr>
        <w:pStyle w:val="8"/>
        <w:spacing w:before="0" w:beforeAutospacing="0" w:after="0" w:afterAutospacing="0"/>
        <w:ind w:firstLine="668" w:firstLineChars="200"/>
        <w:jc w:val="both"/>
        <w:rPr>
          <w:rFonts w:ascii="微软雅黑" w:hAnsi="微软雅黑" w:eastAsia="微软雅黑"/>
          <w:color w:val="333333"/>
          <w:spacing w:val="27"/>
          <w:sz w:val="28"/>
          <w:szCs w:val="32"/>
        </w:rPr>
      </w:pPr>
      <w:r>
        <w:rPr>
          <w:rFonts w:hint="eastAsia" w:ascii="微软雅黑" w:hAnsi="微软雅黑" w:eastAsia="微软雅黑"/>
          <w:color w:val="333333"/>
          <w:spacing w:val="27"/>
          <w:sz w:val="28"/>
          <w:szCs w:val="32"/>
        </w:rPr>
        <w:t>地址：天津市滨海新区泉州道3号</w:t>
      </w:r>
    </w:p>
    <w:p>
      <w:pPr>
        <w:pStyle w:val="8"/>
        <w:spacing w:before="0" w:beforeAutospacing="0" w:after="0" w:afterAutospacing="0"/>
        <w:ind w:firstLine="668" w:firstLineChars="200"/>
        <w:jc w:val="both"/>
        <w:rPr>
          <w:rFonts w:ascii="微软雅黑" w:hAnsi="微软雅黑" w:eastAsia="微软雅黑"/>
          <w:color w:val="333333"/>
          <w:spacing w:val="27"/>
          <w:sz w:val="28"/>
          <w:szCs w:val="32"/>
        </w:rPr>
      </w:pPr>
      <w:r>
        <w:rPr>
          <w:rFonts w:hint="eastAsia" w:ascii="微软雅黑" w:hAnsi="微软雅黑" w:eastAsia="微软雅黑"/>
          <w:color w:val="333333"/>
          <w:spacing w:val="27"/>
          <w:sz w:val="28"/>
          <w:szCs w:val="32"/>
        </w:rPr>
        <w:t>微信公众号：天津开发区科技</w:t>
      </w:r>
    </w:p>
    <w:p>
      <w:pPr>
        <w:widowControl/>
        <w:ind w:firstLine="668" w:firstLineChars="200"/>
        <w:rPr>
          <w:rFonts w:ascii="微软雅黑" w:hAnsi="微软雅黑" w:eastAsia="微软雅黑"/>
          <w:color w:val="333333"/>
          <w:spacing w:val="27"/>
          <w:sz w:val="28"/>
          <w:szCs w:val="32"/>
          <w:lang w:eastAsia="zh-CN"/>
        </w:rPr>
        <w:sectPr>
          <w:pgSz w:w="11910" w:h="16840"/>
          <w:pgMar w:top="1418" w:right="1077" w:bottom="1021" w:left="1077" w:header="720" w:footer="720" w:gutter="0"/>
          <w:pgNumType w:fmt="numberInDash"/>
          <w:cols w:space="720" w:num="1"/>
          <w:docGrid w:linePitch="299" w:charSpace="0"/>
        </w:sectPr>
      </w:pPr>
      <w:r>
        <w:rPr>
          <w:rFonts w:hint="eastAsia" w:ascii="微软雅黑" w:hAnsi="微软雅黑" w:eastAsia="微软雅黑"/>
          <w:color w:val="333333"/>
          <w:spacing w:val="27"/>
          <w:sz w:val="28"/>
          <w:szCs w:val="32"/>
          <w:lang w:eastAsia="zh-CN"/>
        </w:rPr>
        <w:t>咨询电话：</w:t>
      </w:r>
      <w:r>
        <w:rPr>
          <w:rFonts w:hint="eastAsia" w:ascii="微软雅黑" w:hAnsi="微软雅黑" w:eastAsia="微软雅黑" w:cs="宋体"/>
          <w:color w:val="000000" w:themeColor="text1"/>
          <w:spacing w:val="27"/>
          <w:sz w:val="28"/>
          <w:szCs w:val="32"/>
          <w:lang w:eastAsia="zh-CN"/>
          <w14:textFill>
            <w14:solidFill>
              <w14:schemeClr w14:val="tx1"/>
            </w14:solidFill>
          </w14:textFill>
        </w:rPr>
        <w:t>022-65228866</w:t>
      </w:r>
      <w:r>
        <w:rPr>
          <w:rFonts w:hint="eastAsia" w:ascii="微软雅黑" w:hAnsi="微软雅黑" w:eastAsia="微软雅黑"/>
          <w:color w:val="333333"/>
          <w:spacing w:val="27"/>
          <w:sz w:val="28"/>
          <w:szCs w:val="32"/>
          <w:lang w:eastAsia="zh-CN"/>
        </w:rPr>
        <w:t>；0</w:t>
      </w:r>
      <w:r>
        <w:rPr>
          <w:rFonts w:ascii="微软雅黑" w:hAnsi="微软雅黑" w:eastAsia="微软雅黑"/>
          <w:color w:val="333333"/>
          <w:spacing w:val="27"/>
          <w:sz w:val="28"/>
          <w:szCs w:val="32"/>
          <w:lang w:eastAsia="zh-CN"/>
        </w:rPr>
        <w:t>22-</w:t>
      </w:r>
      <w:r>
        <w:rPr>
          <w:rFonts w:hint="eastAsia" w:ascii="微软雅黑" w:hAnsi="微软雅黑" w:eastAsia="微软雅黑"/>
          <w:color w:val="333333"/>
          <w:spacing w:val="27"/>
          <w:sz w:val="28"/>
          <w:szCs w:val="32"/>
          <w:lang w:eastAsia="zh-CN"/>
        </w:rPr>
        <w:t>66878910；0</w:t>
      </w:r>
      <w:r>
        <w:rPr>
          <w:rFonts w:ascii="微软雅黑" w:hAnsi="微软雅黑" w:eastAsia="微软雅黑"/>
          <w:color w:val="333333"/>
          <w:spacing w:val="27"/>
          <w:sz w:val="28"/>
          <w:szCs w:val="32"/>
          <w:lang w:eastAsia="zh-CN"/>
        </w:rPr>
        <w:t>22-668789</w:t>
      </w:r>
      <w:r>
        <w:rPr>
          <w:rFonts w:hint="eastAsia" w:ascii="微软雅黑" w:hAnsi="微软雅黑" w:eastAsia="微软雅黑"/>
          <w:color w:val="333333"/>
          <w:spacing w:val="27"/>
          <w:sz w:val="28"/>
          <w:szCs w:val="32"/>
          <w:lang w:eastAsia="zh-CN"/>
        </w:rPr>
        <w:t>11</w:t>
      </w:r>
    </w:p>
    <w:p>
      <w:pPr>
        <w:adjustRightInd w:val="0"/>
        <w:snapToGrid w:val="0"/>
        <w:spacing w:line="520" w:lineRule="exact"/>
        <w:ind w:left="20"/>
        <w:jc w:val="center"/>
        <w:rPr>
          <w:rFonts w:ascii="微软雅黑" w:hAnsi="微软雅黑" w:eastAsia="微软雅黑" w:cs="方正小标宋简体"/>
          <w:b/>
          <w:sz w:val="44"/>
          <w:szCs w:val="44"/>
          <w:lang w:eastAsia="zh-CN"/>
        </w:rPr>
      </w:pPr>
      <w:r>
        <w:rPr>
          <w:rFonts w:hint="eastAsia" w:ascii="微软雅黑" w:hAnsi="微软雅黑" w:eastAsia="微软雅黑" w:cs="方正小标宋简体"/>
          <w:b/>
          <w:sz w:val="44"/>
          <w:szCs w:val="44"/>
          <w:lang w:eastAsia="zh-CN"/>
        </w:rPr>
        <w:t>2024年度高新技术企业认定工作说明</w:t>
      </w:r>
    </w:p>
    <w:p>
      <w:pPr>
        <w:adjustRightInd w:val="0"/>
        <w:snapToGrid w:val="0"/>
        <w:spacing w:line="520" w:lineRule="exact"/>
        <w:ind w:left="20"/>
        <w:jc w:val="center"/>
        <w:rPr>
          <w:rFonts w:ascii="方正小标宋简体" w:hAnsi="黑体" w:eastAsia="方正小标宋简体"/>
          <w:sz w:val="44"/>
          <w:szCs w:val="44"/>
          <w:lang w:eastAsia="zh-CN"/>
        </w:rPr>
      </w:pPr>
      <w:r>
        <w:rPr>
          <w:rFonts w:hint="eastAsia" w:ascii="方正小标宋简体" w:hAnsi="黑体" w:eastAsia="方正小标宋简体"/>
          <w:sz w:val="44"/>
          <w:szCs w:val="44"/>
          <w:lang w:eastAsia="zh-CN"/>
        </w:rPr>
        <mc:AlternateContent>
          <mc:Choice Requires="wps">
            <w:drawing>
              <wp:anchor distT="0" distB="0" distL="114300" distR="114300" simplePos="0" relativeHeight="251670528" behindDoc="0" locked="0" layoutInCell="1" allowOverlap="1">
                <wp:simplePos x="0" y="0"/>
                <wp:positionH relativeFrom="column">
                  <wp:posOffset>323850</wp:posOffset>
                </wp:positionH>
                <wp:positionV relativeFrom="paragraph">
                  <wp:posOffset>193040</wp:posOffset>
                </wp:positionV>
                <wp:extent cx="5600700" cy="6318250"/>
                <wp:effectExtent l="0" t="0" r="19050" b="25400"/>
                <wp:wrapSquare wrapText="bothSides"/>
                <wp:docPr id="572860917" name="自选图形 14"/>
                <wp:cNvGraphicFramePr/>
                <a:graphic xmlns:a="http://schemas.openxmlformats.org/drawingml/2006/main">
                  <a:graphicData uri="http://schemas.microsoft.com/office/word/2010/wordprocessingShape">
                    <wps:wsp>
                      <wps:cNvSpPr>
                        <a:spLocks noChangeArrowheads="true"/>
                      </wps:cNvSpPr>
                      <wps:spPr bwMode="auto">
                        <a:xfrm>
                          <a:off x="0" y="0"/>
                          <a:ext cx="5600700" cy="631825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1.高企申报：</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常态化受理，企业当年只能申报一次，截止日期为9月30日。</w:t>
                            </w:r>
                          </w:p>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2.高企更名或重大变化：</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常态化受理，分批次办理，申报材料截止日期分别为：</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第一批：6月28日（若企业参加本年度重新认定，建议在本批次提交）；</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第二批：8月30日；</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第三批：11月29日。</w:t>
                            </w:r>
                          </w:p>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3.高企券服务机构备案</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截止时间为2024年8月16日。经备案的机构将于6月底、7月底、8月底分三批在泰达政务网公示公布。</w:t>
                            </w:r>
                          </w:p>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4. 高企券备案</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截止时间为2024年8月30日。</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已备案的高企券将于6月底、8月底和9月底分三批在泰达政务网公示公布。</w:t>
                            </w:r>
                          </w:p>
                          <w:p>
                            <w:pPr>
                              <w:widowControl/>
                              <w:spacing w:line="400" w:lineRule="exact"/>
                              <w:ind w:firstLine="668" w:firstLineChars="200"/>
                              <w:rPr>
                                <w:rFonts w:ascii="微软雅黑" w:hAnsi="微软雅黑" w:eastAsia="微软雅黑" w:cs="宋体"/>
                                <w:bCs/>
                                <w:color w:val="333333"/>
                                <w:spacing w:val="27"/>
                                <w:sz w:val="28"/>
                                <w:szCs w:val="32"/>
                                <w:lang w:eastAsia="zh-CN"/>
                              </w:rPr>
                            </w:pPr>
                          </w:p>
                          <w:p>
                            <w:pPr>
                              <w:spacing w:line="380" w:lineRule="exact"/>
                              <w:jc w:val="right"/>
                              <w:rPr>
                                <w:sz w:val="21"/>
                                <w:szCs w:val="21"/>
                                <w:lang w:eastAsia="zh-CN"/>
                              </w:rPr>
                            </w:pPr>
                            <w:r>
                              <w:rPr>
                                <w:rFonts w:hint="eastAsia"/>
                                <w:b/>
                                <w:bCs/>
                                <w:sz w:val="21"/>
                                <w:szCs w:val="21"/>
                                <w:lang w:eastAsia="zh-CN"/>
                              </w:rPr>
                              <w:t>关于经开区2024年度高新技术企业认定工作安排的通知</w:t>
                            </w:r>
                            <w:r>
                              <w:fldChar w:fldCharType="begin"/>
                            </w:r>
                            <w:r>
                              <w:instrText xml:space="preserve"> HYPERLINK "https://www.teda.gov.cn/bmztc/contents/165/36144.html" </w:instrText>
                            </w:r>
                            <w:r>
                              <w:fldChar w:fldCharType="separate"/>
                            </w:r>
                            <w:r>
                              <w:rPr>
                                <w:rStyle w:val="16"/>
                                <w:rFonts w:ascii="微软雅黑" w:hAnsi="微软雅黑" w:eastAsia="微软雅黑" w:cs="宋体"/>
                                <w:spacing w:val="27"/>
                                <w:lang w:eastAsia="zh-CN"/>
                              </w:rPr>
                              <w:t>https://www.teda.gov.cn/bmztc/contents/165/36144.html</w:t>
                            </w:r>
                            <w:r>
                              <w:rPr>
                                <w:rStyle w:val="16"/>
                                <w:rFonts w:ascii="微软雅黑" w:hAnsi="微软雅黑" w:eastAsia="微软雅黑" w:cs="宋体"/>
                                <w:spacing w:val="27"/>
                                <w:lang w:eastAsia="zh-CN"/>
                              </w:rPr>
                              <w:fldChar w:fldCharType="end"/>
                            </w:r>
                            <w:r>
                              <w:rPr>
                                <w:rStyle w:val="16"/>
                                <w:rFonts w:hint="eastAsia" w:ascii="微软雅黑" w:hAnsi="微软雅黑" w:eastAsia="微软雅黑" w:cs="宋体"/>
                                <w:spacing w:val="27"/>
                                <w:lang w:eastAsia="zh-CN"/>
                              </w:rPr>
                              <w:t xml:space="preserve"> </w:t>
                            </w:r>
                          </w:p>
                          <w:p>
                            <w:pPr>
                              <w:spacing w:line="380" w:lineRule="exact"/>
                              <w:jc w:val="right"/>
                              <w:rPr>
                                <w:rStyle w:val="16"/>
                                <w:rFonts w:ascii="微软雅黑" w:hAnsi="微软雅黑" w:eastAsia="微软雅黑" w:cs="宋体"/>
                                <w:spacing w:val="27"/>
                              </w:rPr>
                            </w:pPr>
                            <w:r>
                              <w:rPr>
                                <w:b/>
                                <w:bCs/>
                                <w:sz w:val="21"/>
                                <w:szCs w:val="21"/>
                                <w:lang w:eastAsia="zh-CN"/>
                              </w:rPr>
                              <w:t>关于2024年度经开区高企服务券服务机构备案和高企服务券备案的通知</w:t>
                            </w:r>
                            <w:r>
                              <w:fldChar w:fldCharType="begin"/>
                            </w:r>
                            <w:r>
                              <w:instrText xml:space="preserve"> HYPERLINK "https://www.teda.gov.cn/bmztc/contents/165/36192.html" </w:instrText>
                            </w:r>
                            <w:r>
                              <w:fldChar w:fldCharType="separate"/>
                            </w:r>
                            <w:r>
                              <w:rPr>
                                <w:rStyle w:val="16"/>
                                <w:rFonts w:ascii="微软雅黑" w:hAnsi="微软雅黑" w:eastAsia="微软雅黑" w:cs="宋体"/>
                                <w:spacing w:val="27"/>
                                <w:lang w:eastAsia="zh-CN"/>
                              </w:rPr>
                              <w:t>https://www.teda.gov.cn/bmztc/contents/165/36192.html</w:t>
                            </w:r>
                            <w:r>
                              <w:rPr>
                                <w:rStyle w:val="16"/>
                                <w:rFonts w:ascii="微软雅黑" w:hAnsi="微软雅黑" w:eastAsia="微软雅黑" w:cs="宋体"/>
                                <w:spacing w:val="27"/>
                                <w:lang w:eastAsia="zh-CN"/>
                              </w:rPr>
                              <w:fldChar w:fldCharType="end"/>
                            </w:r>
                            <w:r>
                              <w:rPr>
                                <w:rStyle w:val="16"/>
                                <w:rFonts w:hint="eastAsia" w:ascii="微软雅黑" w:hAnsi="微软雅黑" w:eastAsia="微软雅黑" w:cs="宋体"/>
                                <w:spacing w:val="27"/>
                              </w:rPr>
                              <w:t xml:space="preserve"> </w:t>
                            </w:r>
                          </w:p>
                          <w:p>
                            <w:pPr>
                              <w:widowControl/>
                              <w:shd w:val="clear" w:color="auto" w:fill="FFFFFF"/>
                              <w:spacing w:line="380" w:lineRule="exact"/>
                              <w:jc w:val="right"/>
                              <w:outlineLvl w:val="0"/>
                              <w:rPr>
                                <w:b/>
                                <w:bCs/>
                                <w:sz w:val="21"/>
                                <w:szCs w:val="21"/>
                                <w:lang w:eastAsia="zh-CN"/>
                              </w:rPr>
                            </w:pPr>
                            <w:r>
                              <w:rPr>
                                <w:rFonts w:hint="eastAsia"/>
                                <w:b/>
                                <w:bCs/>
                                <w:sz w:val="21"/>
                                <w:szCs w:val="21"/>
                                <w:lang w:eastAsia="zh-CN"/>
                              </w:rPr>
                              <w:t>天津经济技术开发区2024年度高新技术企业服务券服务机构备案名单</w:t>
                            </w:r>
                          </w:p>
                          <w:p>
                            <w:pPr>
                              <w:spacing w:line="380" w:lineRule="exact"/>
                              <w:jc w:val="right"/>
                              <w:rPr>
                                <w:color w:val="1F497D" w:themeColor="text2"/>
                                <w:lang w:eastAsia="zh-CN"/>
                                <w14:textFill>
                                  <w14:solidFill>
                                    <w14:schemeClr w14:val="tx2"/>
                                  </w14:solidFill>
                                </w14:textFill>
                              </w:rPr>
                            </w:pPr>
                            <w:r>
                              <w:fldChar w:fldCharType="begin"/>
                            </w:r>
                            <w:r>
                              <w:instrText xml:space="preserve"> HYPERLINK "https://www.teda.gov.cn/bmztc/channels/167.html" </w:instrText>
                            </w:r>
                            <w:r>
                              <w:fldChar w:fldCharType="separate"/>
                            </w:r>
                            <w:r>
                              <w:rPr>
                                <w:rStyle w:val="16"/>
                                <w:rFonts w:ascii="微软雅黑" w:hAnsi="微软雅黑" w:eastAsia="微软雅黑" w:cs="宋体"/>
                                <w:spacing w:val="27"/>
                                <w:lang w:eastAsia="zh-CN"/>
                              </w:rPr>
                              <w:t>https://www.teda.gov.cn/bmztc/channels/167.html</w:t>
                            </w:r>
                            <w:r>
                              <w:rPr>
                                <w:rStyle w:val="16"/>
                                <w:rFonts w:ascii="微软雅黑" w:hAnsi="微软雅黑" w:eastAsia="微软雅黑" w:cs="宋体"/>
                                <w:spacing w:val="27"/>
                                <w:lang w:eastAsia="zh-CN"/>
                              </w:rPr>
                              <w:fldChar w:fldCharType="end"/>
                            </w:r>
                            <w:r>
                              <w:rPr>
                                <w:rStyle w:val="16"/>
                                <w:rFonts w:hint="eastAsia" w:ascii="微软雅黑" w:hAnsi="微软雅黑" w:eastAsia="微软雅黑" w:cs="宋体"/>
                                <w:b/>
                                <w:bCs/>
                                <w:spacing w:val="27"/>
                              </w:rPr>
                              <w:t xml:space="preserve"> </w:t>
                            </w:r>
                          </w:p>
                        </w:txbxContent>
                      </wps:txbx>
                      <wps:bodyPr rot="0" vert="horz" wrap="square" lIns="182880" tIns="457200" rIns="182880" bIns="73152" anchor="t" anchorCtr="false" upright="true">
                        <a:noAutofit/>
                      </wps:bodyPr>
                    </wps:wsp>
                  </a:graphicData>
                </a:graphic>
              </wp:anchor>
            </w:drawing>
          </mc:Choice>
          <mc:Fallback>
            <w:pict>
              <v:rect id="自选图形 14" o:spid="_x0000_s1026" o:spt="1" style="position:absolute;left:0pt;margin-left:25.5pt;margin-top:15.2pt;height:497.5pt;width:441pt;mso-wrap-distance-bottom:0pt;mso-wrap-distance-left:9pt;mso-wrap-distance-right:9pt;mso-wrap-distance-top:0pt;z-index:251670528;mso-width-relative:page;mso-height-relative:page;" fillcolor="#FFFFFF [3212]" filled="t" stroked="t" coordsize="21600,21600" o:gfxdata="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NnRFbjaAAAACgEAAA8AAAAAAAAAAQAgAAAAOAAAAGRycy9kb3ducmV2LnhtbFBLAQIUABQAAAAI&#10;AIdO4kC7fVvxRwIAAFUEAAAOAAAAAAAAAAEAIAAAAD8BAABkcnMvZTJvRG9jLnhtbFBLBQYAAAAA&#10;BgAGAFkBAAD4BQAAAAA=&#10;">
                <v:fill on="t" focussize="0,0"/>
                <v:stroke weight="1.25pt" color="#948A54 [1614]" joinstyle="round"/>
                <v:imagedata o:title=""/>
                <o:lock v:ext="edit" aspectratio="f"/>
                <v:textbox inset="5.08mm,12.7mm,5.08mm,2.032mm">
                  <w:txbxContent>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1.高企申报：</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常态化受理，企业当年只能申报一次，截止日期为9月30日。</w:t>
                      </w:r>
                    </w:p>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2.高企更名或重大变化：</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常态化受理，分批次办理，申报材料截止日期分别为：</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第一批：6月28日（若企业参加本年度重新认定，建议在本批次提交）；</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第二批：8月30日；</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第三批：11月29日。</w:t>
                      </w:r>
                    </w:p>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3.高企券服务机构备案</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截止时间为2024年8月16日。经备案的机构将于6月底、7月底、8月底分三批在泰达政务网公示公布。</w:t>
                      </w:r>
                    </w:p>
                    <w:p>
                      <w:pPr>
                        <w:spacing w:line="400" w:lineRule="exact"/>
                        <w:contextualSpacing/>
                        <w:rPr>
                          <w:rFonts w:ascii="微软雅黑" w:hAnsi="微软雅黑" w:eastAsia="微软雅黑" w:cs="宋体"/>
                          <w:b/>
                          <w:bCs/>
                          <w:sz w:val="28"/>
                          <w:szCs w:val="28"/>
                          <w:lang w:eastAsia="zh-CN"/>
                        </w:rPr>
                      </w:pPr>
                      <w:r>
                        <w:rPr>
                          <w:rFonts w:hint="eastAsia" w:ascii="微软雅黑" w:hAnsi="微软雅黑" w:eastAsia="微软雅黑" w:cs="宋体"/>
                          <w:b/>
                          <w:bCs/>
                          <w:sz w:val="28"/>
                          <w:szCs w:val="28"/>
                          <w:lang w:eastAsia="zh-CN"/>
                        </w:rPr>
                        <w:t>4. 高企券备案</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截止时间为2024年8月30日。</w:t>
                      </w:r>
                    </w:p>
                    <w:p>
                      <w:pPr>
                        <w:widowControl/>
                        <w:spacing w:line="400" w:lineRule="exact"/>
                        <w:ind w:firstLine="668" w:firstLineChars="200"/>
                        <w:rPr>
                          <w:rFonts w:ascii="微软雅黑" w:hAnsi="微软雅黑" w:eastAsia="微软雅黑" w:cs="宋体"/>
                          <w:bCs/>
                          <w:color w:val="333333"/>
                          <w:spacing w:val="27"/>
                          <w:sz w:val="28"/>
                          <w:szCs w:val="32"/>
                          <w:lang w:eastAsia="zh-CN"/>
                        </w:rPr>
                      </w:pPr>
                      <w:r>
                        <w:rPr>
                          <w:rFonts w:hint="eastAsia" w:ascii="微软雅黑" w:hAnsi="微软雅黑" w:eastAsia="微软雅黑" w:cs="宋体"/>
                          <w:bCs/>
                          <w:color w:val="333333"/>
                          <w:spacing w:val="27"/>
                          <w:sz w:val="28"/>
                          <w:szCs w:val="32"/>
                          <w:lang w:eastAsia="zh-CN"/>
                        </w:rPr>
                        <w:t>已备案的高企券将于6月底、8月底和9月底分三批在泰达政务网公示公布。</w:t>
                      </w:r>
                    </w:p>
                    <w:p>
                      <w:pPr>
                        <w:widowControl/>
                        <w:spacing w:line="400" w:lineRule="exact"/>
                        <w:ind w:firstLine="668" w:firstLineChars="200"/>
                        <w:rPr>
                          <w:rFonts w:ascii="微软雅黑" w:hAnsi="微软雅黑" w:eastAsia="微软雅黑" w:cs="宋体"/>
                          <w:bCs/>
                          <w:color w:val="333333"/>
                          <w:spacing w:val="27"/>
                          <w:sz w:val="28"/>
                          <w:szCs w:val="32"/>
                          <w:lang w:eastAsia="zh-CN"/>
                        </w:rPr>
                      </w:pPr>
                    </w:p>
                    <w:p>
                      <w:pPr>
                        <w:spacing w:line="380" w:lineRule="exact"/>
                        <w:jc w:val="right"/>
                        <w:rPr>
                          <w:sz w:val="21"/>
                          <w:szCs w:val="21"/>
                          <w:lang w:eastAsia="zh-CN"/>
                        </w:rPr>
                      </w:pPr>
                      <w:r>
                        <w:rPr>
                          <w:rFonts w:hint="eastAsia"/>
                          <w:b/>
                          <w:bCs/>
                          <w:sz w:val="21"/>
                          <w:szCs w:val="21"/>
                          <w:lang w:eastAsia="zh-CN"/>
                        </w:rPr>
                        <w:t>关于经开区2024年度高新技术企业认定工作安排的通知</w:t>
                      </w:r>
                      <w:r>
                        <w:fldChar w:fldCharType="begin"/>
                      </w:r>
                      <w:r>
                        <w:instrText xml:space="preserve"> HYPERLINK "https://www.teda.gov.cn/bmztc/contents/165/36144.html" </w:instrText>
                      </w:r>
                      <w:r>
                        <w:fldChar w:fldCharType="separate"/>
                      </w:r>
                      <w:r>
                        <w:rPr>
                          <w:rStyle w:val="16"/>
                          <w:rFonts w:ascii="微软雅黑" w:hAnsi="微软雅黑" w:eastAsia="微软雅黑" w:cs="宋体"/>
                          <w:spacing w:val="27"/>
                          <w:lang w:eastAsia="zh-CN"/>
                        </w:rPr>
                        <w:t>https://www.teda.gov.cn/bmztc/contents/165/36144.html</w:t>
                      </w:r>
                      <w:r>
                        <w:rPr>
                          <w:rStyle w:val="16"/>
                          <w:rFonts w:ascii="微软雅黑" w:hAnsi="微软雅黑" w:eastAsia="微软雅黑" w:cs="宋体"/>
                          <w:spacing w:val="27"/>
                          <w:lang w:eastAsia="zh-CN"/>
                        </w:rPr>
                        <w:fldChar w:fldCharType="end"/>
                      </w:r>
                      <w:r>
                        <w:rPr>
                          <w:rStyle w:val="16"/>
                          <w:rFonts w:hint="eastAsia" w:ascii="微软雅黑" w:hAnsi="微软雅黑" w:eastAsia="微软雅黑" w:cs="宋体"/>
                          <w:spacing w:val="27"/>
                          <w:lang w:eastAsia="zh-CN"/>
                        </w:rPr>
                        <w:t xml:space="preserve"> </w:t>
                      </w:r>
                    </w:p>
                    <w:p>
                      <w:pPr>
                        <w:spacing w:line="380" w:lineRule="exact"/>
                        <w:jc w:val="right"/>
                        <w:rPr>
                          <w:rStyle w:val="16"/>
                          <w:rFonts w:ascii="微软雅黑" w:hAnsi="微软雅黑" w:eastAsia="微软雅黑" w:cs="宋体"/>
                          <w:spacing w:val="27"/>
                        </w:rPr>
                      </w:pPr>
                      <w:r>
                        <w:rPr>
                          <w:b/>
                          <w:bCs/>
                          <w:sz w:val="21"/>
                          <w:szCs w:val="21"/>
                          <w:lang w:eastAsia="zh-CN"/>
                        </w:rPr>
                        <w:t>关于2024年度经开区高企服务券服务机构备案和高企服务券备案的通知</w:t>
                      </w:r>
                      <w:r>
                        <w:fldChar w:fldCharType="begin"/>
                      </w:r>
                      <w:r>
                        <w:instrText xml:space="preserve"> HYPERLINK "https://www.teda.gov.cn/bmztc/contents/165/36192.html" </w:instrText>
                      </w:r>
                      <w:r>
                        <w:fldChar w:fldCharType="separate"/>
                      </w:r>
                      <w:r>
                        <w:rPr>
                          <w:rStyle w:val="16"/>
                          <w:rFonts w:ascii="微软雅黑" w:hAnsi="微软雅黑" w:eastAsia="微软雅黑" w:cs="宋体"/>
                          <w:spacing w:val="27"/>
                          <w:lang w:eastAsia="zh-CN"/>
                        </w:rPr>
                        <w:t>https://www.teda.gov.cn/bmztc/contents/165/36192.html</w:t>
                      </w:r>
                      <w:r>
                        <w:rPr>
                          <w:rStyle w:val="16"/>
                          <w:rFonts w:ascii="微软雅黑" w:hAnsi="微软雅黑" w:eastAsia="微软雅黑" w:cs="宋体"/>
                          <w:spacing w:val="27"/>
                          <w:lang w:eastAsia="zh-CN"/>
                        </w:rPr>
                        <w:fldChar w:fldCharType="end"/>
                      </w:r>
                      <w:r>
                        <w:rPr>
                          <w:rStyle w:val="16"/>
                          <w:rFonts w:hint="eastAsia" w:ascii="微软雅黑" w:hAnsi="微软雅黑" w:eastAsia="微软雅黑" w:cs="宋体"/>
                          <w:spacing w:val="27"/>
                        </w:rPr>
                        <w:t xml:space="preserve"> </w:t>
                      </w:r>
                    </w:p>
                    <w:p>
                      <w:pPr>
                        <w:widowControl/>
                        <w:shd w:val="clear" w:color="auto" w:fill="FFFFFF"/>
                        <w:spacing w:line="380" w:lineRule="exact"/>
                        <w:jc w:val="right"/>
                        <w:outlineLvl w:val="0"/>
                        <w:rPr>
                          <w:b/>
                          <w:bCs/>
                          <w:sz w:val="21"/>
                          <w:szCs w:val="21"/>
                          <w:lang w:eastAsia="zh-CN"/>
                        </w:rPr>
                      </w:pPr>
                      <w:r>
                        <w:rPr>
                          <w:rFonts w:hint="eastAsia"/>
                          <w:b/>
                          <w:bCs/>
                          <w:sz w:val="21"/>
                          <w:szCs w:val="21"/>
                          <w:lang w:eastAsia="zh-CN"/>
                        </w:rPr>
                        <w:t>天津经济技术开发区2024年度高新技术企业服务券服务机构备案名单</w:t>
                      </w:r>
                    </w:p>
                    <w:p>
                      <w:pPr>
                        <w:spacing w:line="380" w:lineRule="exact"/>
                        <w:jc w:val="right"/>
                        <w:rPr>
                          <w:color w:val="1F497D" w:themeColor="text2"/>
                          <w:lang w:eastAsia="zh-CN"/>
                          <w14:textFill>
                            <w14:solidFill>
                              <w14:schemeClr w14:val="tx2"/>
                            </w14:solidFill>
                          </w14:textFill>
                        </w:rPr>
                      </w:pPr>
                      <w:r>
                        <w:fldChar w:fldCharType="begin"/>
                      </w:r>
                      <w:r>
                        <w:instrText xml:space="preserve"> HYPERLINK "https://www.teda.gov.cn/bmztc/channels/167.html" </w:instrText>
                      </w:r>
                      <w:r>
                        <w:fldChar w:fldCharType="separate"/>
                      </w:r>
                      <w:r>
                        <w:rPr>
                          <w:rStyle w:val="16"/>
                          <w:rFonts w:ascii="微软雅黑" w:hAnsi="微软雅黑" w:eastAsia="微软雅黑" w:cs="宋体"/>
                          <w:spacing w:val="27"/>
                          <w:lang w:eastAsia="zh-CN"/>
                        </w:rPr>
                        <w:t>https://www.teda.gov.cn/bmztc/channels/167.html</w:t>
                      </w:r>
                      <w:r>
                        <w:rPr>
                          <w:rStyle w:val="16"/>
                          <w:rFonts w:ascii="微软雅黑" w:hAnsi="微软雅黑" w:eastAsia="微软雅黑" w:cs="宋体"/>
                          <w:spacing w:val="27"/>
                          <w:lang w:eastAsia="zh-CN"/>
                        </w:rPr>
                        <w:fldChar w:fldCharType="end"/>
                      </w:r>
                      <w:r>
                        <w:rPr>
                          <w:rStyle w:val="16"/>
                          <w:rFonts w:hint="eastAsia" w:ascii="微软雅黑" w:hAnsi="微软雅黑" w:eastAsia="微软雅黑" w:cs="宋体"/>
                          <w:b/>
                          <w:bCs/>
                          <w:spacing w:val="27"/>
                        </w:rPr>
                        <w:t xml:space="preserve"> </w:t>
                      </w:r>
                    </w:p>
                  </w:txbxContent>
                </v:textbox>
                <w10:wrap type="square"/>
              </v:rect>
            </w:pict>
          </mc:Fallback>
        </mc:AlternateContent>
      </w:r>
      <w:r>
        <w:rPr>
          <w:rFonts w:hint="eastAsia" w:ascii="方正小标宋简体" w:hAnsi="黑体" w:eastAsia="方正小标宋简体"/>
          <w:sz w:val="44"/>
          <w:szCs w:val="44"/>
          <w:lang w:eastAsia="zh-CN"/>
        </w:rPr>
        <w:t xml:space="preserve"> </w:t>
      </w: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528" w:firstLineChars="200"/>
        <w:rPr>
          <w:rFonts w:ascii="微软雅黑" w:hAnsi="微软雅黑" w:eastAsia="微软雅黑" w:cs="宋体"/>
          <w:bCs/>
          <w:color w:val="333333"/>
          <w:spacing w:val="27"/>
          <w:sz w:val="21"/>
          <w:szCs w:val="21"/>
          <w:lang w:eastAsia="zh-CN"/>
        </w:rPr>
      </w:pPr>
    </w:p>
    <w:p>
      <w:pPr>
        <w:widowControl/>
        <w:ind w:firstLine="440" w:firstLineChars="200"/>
        <w:rPr>
          <w:rFonts w:ascii="微软雅黑" w:hAnsi="微软雅黑" w:eastAsia="微软雅黑" w:cs="宋体"/>
          <w:bCs/>
          <w:color w:val="333333"/>
          <w:spacing w:val="27"/>
          <w:sz w:val="21"/>
          <w:szCs w:val="21"/>
          <w:lang w:eastAsia="zh-CN"/>
        </w:rPr>
      </w:pPr>
      <w:r>
        <w:rPr>
          <w:lang w:eastAsia="zh-CN"/>
          <w14:props3d w14:extrusionH="0" w14:contourW="0" w14:prstMaterial="legacyWireframe"/>
        </w:rPr>
        <w:drawing>
          <wp:anchor distT="0" distB="0" distL="114300" distR="114300" simplePos="0" relativeHeight="251674624" behindDoc="0" locked="0" layoutInCell="1" allowOverlap="1">
            <wp:simplePos x="0" y="0"/>
            <wp:positionH relativeFrom="margin">
              <wp:align>right</wp:align>
            </wp:positionH>
            <wp:positionV relativeFrom="margin">
              <wp:posOffset>7252335</wp:posOffset>
            </wp:positionV>
            <wp:extent cx="1479550" cy="1479550"/>
            <wp:effectExtent l="152400" t="152400" r="368300" b="368300"/>
            <wp:wrapSquare wrapText="bothSides"/>
            <wp:docPr id="147012239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0122393" name="图片 9"/>
                    <pic:cNvPicPr>
                      <a:picLocks noChangeAspect="true"/>
                    </pic:cNvPicPr>
                  </pic:nvPicPr>
                  <pic:blipFill>
                    <a:blip r:embed="rId17" cstate="print">
                      <a:extLst>
                        <a:ext uri="{28A0092B-C50C-407E-A947-70E740481C1C}">
                          <a14:useLocalDpi xmlns:a14="http://schemas.microsoft.com/office/drawing/2010/main" val="false"/>
                        </a:ext>
                      </a:extLst>
                    </a:blip>
                    <a:stretch>
                      <a:fillRect/>
                    </a:stretch>
                  </pic:blipFill>
                  <pic:spPr>
                    <a:xfrm>
                      <a:off x="0" y="0"/>
                      <a:ext cx="1479550" cy="1479550"/>
                    </a:xfrm>
                    <a:prstGeom prst="rect">
                      <a:avLst/>
                    </a:prstGeom>
                    <a:ln>
                      <a:noFill/>
                    </a:ln>
                    <a:effectLst>
                      <a:outerShdw blurRad="292100" dist="139700" dir="2700000" algn="tl" rotWithShape="0">
                        <a:srgbClr val="333333">
                          <a:alpha val="65000"/>
                        </a:srgbClr>
                      </a:outerShdw>
                    </a:effectLst>
                  </pic:spPr>
                </pic:pic>
              </a:graphicData>
            </a:graphic>
          </wp:anchor>
        </w:drawing>
      </w:r>
      <w:r>
        <w:rPr>
          <w:lang w:eastAsia="zh-CN"/>
          <w14:props3d w14:extrusionH="0" w14:contourW="0" w14:prstMaterial="legacyWireframe"/>
        </w:rPr>
        <w:drawing>
          <wp:anchor distT="0" distB="0" distL="114300" distR="114300" simplePos="0" relativeHeight="251675648" behindDoc="0" locked="0" layoutInCell="1" allowOverlap="1">
            <wp:simplePos x="0" y="0"/>
            <wp:positionH relativeFrom="margin">
              <wp:posOffset>2476500</wp:posOffset>
            </wp:positionH>
            <wp:positionV relativeFrom="margin">
              <wp:posOffset>7285990</wp:posOffset>
            </wp:positionV>
            <wp:extent cx="1479550" cy="1479550"/>
            <wp:effectExtent l="152400" t="152400" r="368300" b="368300"/>
            <wp:wrapSquare wrapText="bothSides"/>
            <wp:docPr id="26374417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3744179" name="图片 10"/>
                    <pic:cNvPicPr>
                      <a:picLocks noChangeAspect="true"/>
                    </pic:cNvPicPr>
                  </pic:nvPicPr>
                  <pic:blipFill>
                    <a:blip r:embed="rId18" cstate="print">
                      <a:extLst>
                        <a:ext uri="{28A0092B-C50C-407E-A947-70E740481C1C}">
                          <a14:useLocalDpi xmlns:a14="http://schemas.microsoft.com/office/drawing/2010/main" val="false"/>
                        </a:ext>
                      </a:extLst>
                    </a:blip>
                    <a:stretch>
                      <a:fillRect/>
                    </a:stretch>
                  </pic:blipFill>
                  <pic:spPr>
                    <a:xfrm>
                      <a:off x="0" y="0"/>
                      <a:ext cx="1479550" cy="1479550"/>
                    </a:xfrm>
                    <a:prstGeom prst="rect">
                      <a:avLst/>
                    </a:prstGeom>
                    <a:ln>
                      <a:noFill/>
                    </a:ln>
                    <a:effectLst>
                      <a:outerShdw blurRad="292100" dist="139700" dir="2700000" algn="tl" rotWithShape="0">
                        <a:srgbClr val="333333">
                          <a:alpha val="65000"/>
                        </a:srgbClr>
                      </a:outerShdw>
                    </a:effectLst>
                  </pic:spPr>
                </pic:pic>
              </a:graphicData>
            </a:graphic>
          </wp:anchor>
        </w:drawing>
      </w:r>
      <w:r>
        <w:rPr>
          <w:lang w:eastAsia="zh-CN"/>
          <w14:props3d w14:extrusionH="0" w14:contourW="0" w14:prstMaterial="legacyWireframe"/>
        </w:rPr>
        <w:drawing>
          <wp:anchor distT="0" distB="0" distL="114300" distR="114300" simplePos="0" relativeHeight="251673600" behindDoc="0" locked="0" layoutInCell="1" allowOverlap="1">
            <wp:simplePos x="0" y="0"/>
            <wp:positionH relativeFrom="margin">
              <wp:posOffset>330200</wp:posOffset>
            </wp:positionH>
            <wp:positionV relativeFrom="margin">
              <wp:posOffset>7264400</wp:posOffset>
            </wp:positionV>
            <wp:extent cx="1504950" cy="1504950"/>
            <wp:effectExtent l="152400" t="152400" r="361950" b="361950"/>
            <wp:wrapSquare wrapText="bothSides"/>
            <wp:docPr id="54863033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8630333" name="图片 11"/>
                    <pic:cNvPicPr>
                      <a:picLocks noChangeAspect="true"/>
                    </pic:cNvPicPr>
                  </pic:nvPicPr>
                  <pic:blipFill>
                    <a:blip r:embed="rId19" cstate="print">
                      <a:extLst>
                        <a:ext uri="{28A0092B-C50C-407E-A947-70E740481C1C}">
                          <a14:useLocalDpi xmlns:a14="http://schemas.microsoft.com/office/drawing/2010/main" val="false"/>
                        </a:ext>
                      </a:extLst>
                    </a:blip>
                    <a:stretch>
                      <a:fillRect/>
                    </a:stretch>
                  </pic:blipFill>
                  <pic:spPr>
                    <a:xfrm>
                      <a:off x="0" y="0"/>
                      <a:ext cx="1504950" cy="1504950"/>
                    </a:xfrm>
                    <a:prstGeom prst="rect">
                      <a:avLst/>
                    </a:prstGeom>
                    <a:ln>
                      <a:noFill/>
                    </a:ln>
                    <a:effectLst>
                      <a:outerShdw blurRad="292100" dist="139700" dir="2700000" algn="tl" rotWithShape="0">
                        <a:srgbClr val="333333">
                          <a:alpha val="65000"/>
                        </a:srgbClr>
                      </a:outerShdw>
                    </a:effectLst>
                  </pic:spPr>
                </pic:pic>
              </a:graphicData>
            </a:graphic>
          </wp:anchor>
        </w:drawing>
      </w:r>
    </w:p>
    <w:p>
      <w:pPr>
        <w:widowControl/>
        <w:ind w:firstLine="440" w:firstLineChars="200"/>
        <w:rPr>
          <w:lang w:eastAsia="zh-CN"/>
          <w14:props3d w14:extrusionH="0" w14:contourW="0" w14:prstMaterial="legacyWireframe"/>
        </w:rPr>
      </w:pPr>
    </w:p>
    <w:p>
      <w:pPr>
        <w:adjustRightInd w:val="0"/>
        <w:snapToGrid w:val="0"/>
        <w:spacing w:line="520" w:lineRule="exact"/>
        <w:ind w:left="20"/>
        <w:jc w:val="center"/>
        <w:rPr>
          <w:rFonts w:ascii="微软雅黑" w:hAnsi="微软雅黑" w:eastAsia="微软雅黑" w:cs="方正小标宋简体"/>
          <w:b/>
          <w:sz w:val="44"/>
          <w:szCs w:val="44"/>
          <w:lang w:eastAsia="zh-CN"/>
        </w:rPr>
      </w:pPr>
      <w:bookmarkStart w:id="0" w:name="高企券用途及备案和兑现须知"/>
      <w:bookmarkEnd w:id="0"/>
      <w:r>
        <w:rPr>
          <w:rFonts w:hint="eastAsia" w:ascii="微软雅黑" w:hAnsi="微软雅黑" w:eastAsia="微软雅黑" w:cs="方正小标宋简体"/>
          <w:b/>
          <w:sz w:val="44"/>
          <w:szCs w:val="44"/>
          <w:lang w:eastAsia="zh-CN"/>
        </w:rPr>
        <w:t>2024</w:t>
      </w:r>
      <w:r>
        <w:rPr>
          <w:rFonts w:ascii="微软雅黑" w:hAnsi="微软雅黑" w:eastAsia="微软雅黑" w:cs="方正小标宋简体"/>
          <w:b/>
          <w:sz w:val="44"/>
          <w:szCs w:val="44"/>
          <w:lang w:eastAsia="zh-CN"/>
        </w:rPr>
        <w:t>年</w:t>
      </w:r>
      <w:r>
        <w:rPr>
          <w:rFonts w:hint="eastAsia" w:ascii="微软雅黑" w:hAnsi="微软雅黑" w:eastAsia="微软雅黑" w:cs="方正小标宋简体"/>
          <w:b/>
          <w:sz w:val="44"/>
          <w:szCs w:val="44"/>
          <w:lang w:eastAsia="zh-CN"/>
        </w:rPr>
        <w:t>高企券用途及备案和兑现须知</w:t>
      </w:r>
    </w:p>
    <w:p>
      <w:pPr>
        <w:spacing w:line="440" w:lineRule="exact"/>
        <w:contextualSpacing/>
        <w:rPr>
          <w:rFonts w:ascii="微软雅黑" w:hAnsi="微软雅黑" w:eastAsia="微软雅黑" w:cs="宋体"/>
          <w:b/>
          <w:bCs/>
          <w:sz w:val="24"/>
          <w:szCs w:val="24"/>
          <w:lang w:eastAsia="zh-CN"/>
        </w:rPr>
      </w:pPr>
    </w:p>
    <w:p>
      <w:pPr>
        <w:spacing w:line="440" w:lineRule="exact"/>
        <w:contextualSpacing/>
        <w:rPr>
          <w:rFonts w:ascii="微软雅黑" w:hAnsi="微软雅黑" w:eastAsia="微软雅黑" w:cs="宋体"/>
          <w:b/>
          <w:bCs/>
          <w:sz w:val="24"/>
          <w:szCs w:val="24"/>
          <w:lang w:eastAsia="zh-CN"/>
        </w:rPr>
      </w:pPr>
      <w:r>
        <w:rPr>
          <w:rFonts w:hint="eastAsia" w:ascii="微软雅黑" w:hAnsi="微软雅黑" w:eastAsia="微软雅黑" w:cs="宋体"/>
          <w:b/>
          <w:bCs/>
          <w:sz w:val="24"/>
          <w:szCs w:val="24"/>
          <w:lang w:eastAsia="zh-CN"/>
        </w:rPr>
        <w:t>一、高企券用途</w:t>
      </w:r>
    </w:p>
    <w:p>
      <w:pPr>
        <w:pStyle w:val="8"/>
        <w:spacing w:before="0" w:beforeAutospacing="0" w:after="0" w:afterAutospacing="0" w:line="440" w:lineRule="exact"/>
        <w:ind w:firstLine="588" w:firstLineChars="200"/>
        <w:jc w:val="both"/>
        <w:rPr>
          <w:rFonts w:ascii="微软雅黑" w:hAnsi="微软雅黑" w:eastAsia="微软雅黑"/>
          <w:bCs/>
          <w:color w:val="333333"/>
          <w:spacing w:val="27"/>
        </w:rPr>
      </w:pPr>
      <w:r>
        <w:rPr>
          <w:rFonts w:hint="eastAsia" w:ascii="微软雅黑" w:hAnsi="微软雅黑" w:eastAsia="微软雅黑"/>
          <w:bCs/>
          <w:color w:val="333333"/>
          <w:spacing w:val="27"/>
        </w:rPr>
        <w:t>1.申请认定高新技术企业的各类科技企业，可申领“高企券”，用于向机构购买高企申报服务。其中，使用“高企券”的高新技术企业上一年度销售收入小于100万元（含）、100万元至1000万元（含）和1000万元以上的，“高企券”额度分别为1.5万元、3万元和4万元。</w:t>
      </w:r>
    </w:p>
    <w:p>
      <w:pPr>
        <w:pStyle w:val="8"/>
        <w:spacing w:before="0" w:beforeAutospacing="0" w:after="0" w:afterAutospacing="0" w:line="440" w:lineRule="exact"/>
        <w:ind w:firstLine="588" w:firstLineChars="200"/>
        <w:jc w:val="both"/>
        <w:rPr>
          <w:rFonts w:ascii="微软雅黑" w:hAnsi="微软雅黑" w:eastAsia="微软雅黑"/>
          <w:bCs/>
          <w:color w:val="333333"/>
          <w:spacing w:val="27"/>
        </w:rPr>
      </w:pPr>
      <w:r>
        <w:rPr>
          <w:rFonts w:hint="eastAsia" w:ascii="微软雅黑" w:hAnsi="微软雅黑" w:eastAsia="微软雅黑"/>
          <w:bCs/>
          <w:color w:val="333333"/>
          <w:spacing w:val="27"/>
        </w:rPr>
        <w:t>2.凡在经开区注册的企业，均有资格以高企券抵免其委托在经开区科技局备案的机构申报高企的服务费用（不含专项审计、代理申报知识产权等费用）。机构不得就高企申报向其服务的企业额外收取费用。</w:t>
      </w:r>
    </w:p>
    <w:p>
      <w:pPr>
        <w:spacing w:line="440" w:lineRule="exact"/>
        <w:contextualSpacing/>
        <w:rPr>
          <w:rFonts w:ascii="微软雅黑" w:hAnsi="微软雅黑" w:eastAsia="微软雅黑" w:cs="宋体"/>
          <w:b/>
          <w:bCs/>
          <w:sz w:val="24"/>
          <w:szCs w:val="24"/>
          <w:lang w:eastAsia="zh-CN"/>
        </w:rPr>
      </w:pPr>
      <w:r>
        <w:rPr>
          <w:rFonts w:hint="eastAsia" w:ascii="微软雅黑" w:hAnsi="微软雅黑" w:eastAsia="微软雅黑" w:cs="宋体"/>
          <w:b/>
          <w:bCs/>
          <w:sz w:val="24"/>
          <w:szCs w:val="24"/>
          <w:lang w:eastAsia="zh-CN"/>
        </w:rPr>
        <w:t>二、高企券备案</w:t>
      </w:r>
    </w:p>
    <w:p>
      <w:pPr>
        <w:widowControl/>
        <w:spacing w:line="440" w:lineRule="exact"/>
        <w:ind w:firstLine="480" w:firstLineChars="200"/>
        <w:rPr>
          <w:rFonts w:ascii="微软雅黑" w:hAnsi="微软雅黑" w:eastAsia="微软雅黑" w:cs="宋体"/>
          <w:bCs/>
          <w:color w:val="333333"/>
          <w:spacing w:val="27"/>
          <w:sz w:val="24"/>
          <w:szCs w:val="24"/>
          <w:lang w:eastAsia="zh-CN"/>
        </w:rPr>
      </w:pPr>
      <w:r>
        <w:rPr>
          <w:rFonts w:ascii="宋体" w:hAnsi="宋体" w:eastAsia="宋体" w:cs="宋体"/>
          <w:sz w:val="24"/>
          <w:szCs w:val="24"/>
          <w:lang w:eastAsia="zh-CN" w:bidi="ar"/>
        </w:rPr>
        <w:drawing>
          <wp:anchor distT="0" distB="0" distL="114300" distR="114300" simplePos="0" relativeHeight="251671552" behindDoc="0" locked="0" layoutInCell="1" allowOverlap="1">
            <wp:simplePos x="0" y="0"/>
            <wp:positionH relativeFrom="margin">
              <wp:posOffset>2707005</wp:posOffset>
            </wp:positionH>
            <wp:positionV relativeFrom="paragraph">
              <wp:posOffset>440690</wp:posOffset>
            </wp:positionV>
            <wp:extent cx="1367790" cy="1367790"/>
            <wp:effectExtent l="0" t="0" r="3810" b="3810"/>
            <wp:wrapTopAndBottom/>
            <wp:docPr id="3"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true"/>
                    </pic:cNvPicPr>
                  </pic:nvPicPr>
                  <pic:blipFill>
                    <a:blip r:embed="rId20">
                      <a:extLst>
                        <a:ext uri="{28A0092B-C50C-407E-A947-70E740481C1C}">
                          <a14:useLocalDpi xmlns:a14="http://schemas.microsoft.com/office/drawing/2010/main" val="false"/>
                        </a:ext>
                      </a:extLst>
                    </a:blip>
                    <a:stretch>
                      <a:fillRect/>
                    </a:stretch>
                  </pic:blipFill>
                  <pic:spPr>
                    <a:xfrm>
                      <a:off x="0" y="0"/>
                      <a:ext cx="1367790" cy="1367790"/>
                    </a:xfrm>
                    <a:prstGeom prst="rect">
                      <a:avLst/>
                    </a:prstGeom>
                    <a:noFill/>
                    <a:ln w="9525">
                      <a:noFill/>
                    </a:ln>
                  </pic:spPr>
                </pic:pic>
              </a:graphicData>
            </a:graphic>
          </wp:anchor>
        </w:drawing>
      </w:r>
      <w:r>
        <w:rPr>
          <w:rFonts w:hint="eastAsia" w:ascii="微软雅黑" w:hAnsi="微软雅黑" w:eastAsia="微软雅黑" w:cs="宋体"/>
          <w:bCs/>
          <w:color w:val="333333"/>
          <w:spacing w:val="27"/>
          <w:sz w:val="24"/>
          <w:szCs w:val="24"/>
          <w:lang w:eastAsia="zh-CN"/>
        </w:rPr>
        <w:t>1.企业扫描下方二维码进行高企券备案，备案截止时间为2024年8月30日。</w:t>
      </w:r>
    </w:p>
    <w:p>
      <w:pPr>
        <w:widowControl/>
        <w:spacing w:line="440" w:lineRule="exact"/>
        <w:ind w:firstLine="589" w:firstLineChars="200"/>
        <w:jc w:val="center"/>
        <w:rPr>
          <w:rFonts w:ascii="微软雅黑" w:hAnsi="微软雅黑" w:eastAsia="微软雅黑" w:cs="宋体"/>
          <w:b/>
          <w:color w:val="333333"/>
          <w:spacing w:val="27"/>
          <w:sz w:val="24"/>
          <w:szCs w:val="24"/>
          <w:lang w:eastAsia="zh-CN"/>
        </w:rPr>
      </w:pPr>
      <w:r>
        <w:rPr>
          <w:rFonts w:hint="eastAsia" w:ascii="微软雅黑" w:hAnsi="微软雅黑" w:eastAsia="微软雅黑" w:cs="宋体"/>
          <w:b/>
          <w:color w:val="333333"/>
          <w:spacing w:val="27"/>
          <w:sz w:val="24"/>
          <w:szCs w:val="24"/>
          <w:lang w:eastAsia="zh-CN"/>
        </w:rPr>
        <w:t>2024年经开区高企认定信息表</w:t>
      </w:r>
    </w:p>
    <w:p>
      <w:pPr>
        <w:widowControl/>
        <w:spacing w:line="440" w:lineRule="exact"/>
        <w:ind w:firstLine="588" w:firstLineChars="200"/>
        <w:rPr>
          <w:rFonts w:ascii="微软雅黑" w:hAnsi="微软雅黑" w:eastAsia="微软雅黑" w:cs="宋体"/>
          <w:bCs/>
          <w:color w:val="333333"/>
          <w:spacing w:val="27"/>
          <w:sz w:val="24"/>
          <w:szCs w:val="24"/>
          <w:lang w:eastAsia="zh-CN"/>
        </w:rPr>
      </w:pPr>
      <w:r>
        <w:rPr>
          <w:rFonts w:hint="eastAsia" w:ascii="微软雅黑" w:hAnsi="微软雅黑" w:eastAsia="微软雅黑" w:cs="宋体"/>
          <w:bCs/>
          <w:color w:val="333333"/>
          <w:spacing w:val="27"/>
          <w:sz w:val="24"/>
          <w:szCs w:val="24"/>
          <w:lang w:eastAsia="zh-CN"/>
        </w:rPr>
        <w:t>2.备案时须上传企业与机构签署的高企申报服务协议。已备案的高企券将于6月底、8月底和9月底分三批在泰达政务网公示公布。</w:t>
      </w:r>
    </w:p>
    <w:p>
      <w:pPr>
        <w:widowControl/>
        <w:spacing w:line="440" w:lineRule="exact"/>
        <w:ind w:firstLine="588" w:firstLineChars="200"/>
        <w:rPr>
          <w:rFonts w:ascii="微软雅黑" w:hAnsi="微软雅黑" w:eastAsia="微软雅黑" w:cs="宋体"/>
          <w:bCs/>
          <w:color w:val="333333"/>
          <w:spacing w:val="27"/>
          <w:sz w:val="24"/>
          <w:szCs w:val="24"/>
          <w:lang w:eastAsia="zh-CN"/>
        </w:rPr>
      </w:pPr>
      <w:r>
        <w:rPr>
          <w:rFonts w:hint="eastAsia" w:ascii="微软雅黑" w:hAnsi="微软雅黑" w:eastAsia="微软雅黑" w:cs="宋体"/>
          <w:bCs/>
          <w:color w:val="333333"/>
          <w:spacing w:val="27"/>
          <w:sz w:val="24"/>
          <w:szCs w:val="24"/>
          <w:lang w:eastAsia="zh-CN"/>
        </w:rPr>
        <w:t>3.未备案的高企券不予兑现。</w:t>
      </w:r>
    </w:p>
    <w:p>
      <w:pPr>
        <w:spacing w:line="440" w:lineRule="exact"/>
        <w:contextualSpacing/>
        <w:rPr>
          <w:rFonts w:ascii="微软雅黑" w:hAnsi="微软雅黑" w:eastAsia="微软雅黑" w:cs="宋体"/>
          <w:b/>
          <w:bCs/>
          <w:sz w:val="24"/>
          <w:szCs w:val="24"/>
          <w:lang w:eastAsia="zh-CN"/>
        </w:rPr>
      </w:pPr>
      <w:r>
        <w:rPr>
          <w:rFonts w:hint="eastAsia" w:ascii="微软雅黑" w:hAnsi="微软雅黑" w:eastAsia="微软雅黑" w:cs="宋体"/>
          <w:b/>
          <w:bCs/>
          <w:sz w:val="24"/>
          <w:szCs w:val="24"/>
          <w:lang w:eastAsia="zh-CN"/>
        </w:rPr>
        <w:t>三、高企申报服务协议</w:t>
      </w:r>
    </w:p>
    <w:p>
      <w:pPr>
        <w:widowControl/>
        <w:spacing w:line="440" w:lineRule="exact"/>
        <w:ind w:firstLine="588" w:firstLineChars="200"/>
        <w:rPr>
          <w:rFonts w:ascii="微软雅黑" w:hAnsi="微软雅黑" w:eastAsia="微软雅黑" w:cs="宋体"/>
          <w:bCs/>
          <w:color w:val="333333"/>
          <w:spacing w:val="27"/>
          <w:sz w:val="24"/>
          <w:szCs w:val="24"/>
          <w:lang w:eastAsia="zh-CN"/>
        </w:rPr>
      </w:pPr>
      <w:r>
        <w:rPr>
          <w:rFonts w:hint="eastAsia" w:ascii="微软雅黑" w:hAnsi="微软雅黑" w:eastAsia="微软雅黑" w:cs="宋体"/>
          <w:bCs/>
          <w:color w:val="333333"/>
          <w:spacing w:val="27"/>
          <w:sz w:val="24"/>
          <w:szCs w:val="24"/>
          <w:lang w:eastAsia="zh-CN"/>
        </w:rPr>
        <w:t>企业与机构签署的高企申报服务协议无固定模板或标准文本，但须标明以下事项：</w:t>
      </w:r>
    </w:p>
    <w:p>
      <w:pPr>
        <w:widowControl/>
        <w:spacing w:line="440" w:lineRule="exact"/>
        <w:ind w:firstLine="588" w:firstLineChars="200"/>
        <w:rPr>
          <w:rFonts w:ascii="微软雅黑" w:hAnsi="微软雅黑" w:eastAsia="微软雅黑" w:cs="宋体"/>
          <w:bCs/>
          <w:color w:val="333333"/>
          <w:spacing w:val="27"/>
          <w:sz w:val="24"/>
          <w:szCs w:val="24"/>
          <w:lang w:eastAsia="zh-CN"/>
        </w:rPr>
      </w:pPr>
      <w:r>
        <w:rPr>
          <w:rFonts w:hint="eastAsia" w:ascii="微软雅黑" w:hAnsi="微软雅黑" w:eastAsia="微软雅黑" w:cs="宋体"/>
          <w:bCs/>
          <w:color w:val="333333"/>
          <w:spacing w:val="27"/>
          <w:sz w:val="24"/>
          <w:szCs w:val="24"/>
          <w:lang w:eastAsia="zh-CN"/>
        </w:rPr>
        <w:t>1.机构为企业提供的高企申报服务使用高企券抵免且此项服务不再额外收取企业费用；</w:t>
      </w:r>
    </w:p>
    <w:p>
      <w:pPr>
        <w:widowControl/>
        <w:spacing w:line="440" w:lineRule="exact"/>
        <w:ind w:firstLine="588" w:firstLineChars="200"/>
        <w:rPr>
          <w:rFonts w:ascii="微软雅黑" w:hAnsi="微软雅黑" w:eastAsia="微软雅黑" w:cs="宋体"/>
          <w:bCs/>
          <w:color w:val="333333"/>
          <w:spacing w:val="27"/>
          <w:sz w:val="24"/>
          <w:szCs w:val="24"/>
          <w:lang w:eastAsia="zh-CN"/>
        </w:rPr>
      </w:pPr>
      <w:r>
        <w:rPr>
          <w:rFonts w:hint="eastAsia" w:ascii="微软雅黑" w:hAnsi="微软雅黑" w:eastAsia="微软雅黑" w:cs="宋体"/>
          <w:bCs/>
          <w:color w:val="333333"/>
          <w:spacing w:val="27"/>
          <w:sz w:val="24"/>
          <w:szCs w:val="24"/>
          <w:lang w:eastAsia="zh-CN"/>
        </w:rPr>
        <w:t>2.机构为企业提供高企申报服务包括但不限于提供高企申报所需的咨询服务、在“科学技术部政务服务平台”帮助企业填写高企认定申请书、整理和装订高企认定申请纸质材料并按时提交。</w:t>
      </w:r>
    </w:p>
    <w:p>
      <w:pPr>
        <w:spacing w:line="440" w:lineRule="exact"/>
        <w:contextualSpacing/>
        <w:rPr>
          <w:rFonts w:ascii="微软雅黑" w:hAnsi="微软雅黑" w:eastAsia="微软雅黑" w:cs="宋体"/>
          <w:b/>
          <w:bCs/>
          <w:sz w:val="24"/>
          <w:szCs w:val="24"/>
          <w:lang w:eastAsia="zh-CN"/>
        </w:rPr>
      </w:pPr>
      <w:r>
        <w:rPr>
          <w:rFonts w:hint="eastAsia" w:ascii="微软雅黑" w:hAnsi="微软雅黑" w:eastAsia="微软雅黑" w:cs="宋体"/>
          <w:b/>
          <w:bCs/>
          <w:sz w:val="24"/>
          <w:szCs w:val="24"/>
          <w:lang w:eastAsia="zh-CN"/>
        </w:rPr>
        <w:t>四、高企券兑现</w:t>
      </w:r>
    </w:p>
    <w:p>
      <w:pPr>
        <w:widowControl/>
        <w:spacing w:line="440" w:lineRule="exact"/>
        <w:ind w:firstLine="588" w:firstLineChars="200"/>
        <w:rPr>
          <w:rFonts w:ascii="微软雅黑" w:hAnsi="微软雅黑" w:eastAsia="微软雅黑" w:cs="方正小标宋简体"/>
          <w:b/>
          <w:sz w:val="44"/>
          <w:szCs w:val="44"/>
          <w:lang w:eastAsia="zh-CN"/>
        </w:rPr>
      </w:pPr>
      <w:r>
        <w:rPr>
          <w:rFonts w:hint="eastAsia" w:ascii="微软雅黑" w:hAnsi="微软雅黑" w:eastAsia="微软雅黑" w:cs="宋体"/>
          <w:bCs/>
          <w:color w:val="333333"/>
          <w:spacing w:val="27"/>
          <w:sz w:val="24"/>
          <w:szCs w:val="24"/>
          <w:lang w:eastAsia="zh-CN"/>
        </w:rPr>
        <w:t>完成高企券备案的企业已认定高企并取得高企证书后，机构可按经开区政务服务平台“政策兑现”流程申请兑现高企券。</w:t>
      </w:r>
    </w:p>
    <w:sectPr>
      <w:footerReference r:id="rId5" w:type="default"/>
      <w:pgSz w:w="11906" w:h="16838"/>
      <w:pgMar w:top="850" w:right="850" w:bottom="850" w:left="85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楷体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10" w:usb3="00000000" w:csb0="0004009F" w:csb1="00000000"/>
  </w:font>
  <w:font w:name="Arial">
    <w:altName w:val="Nimbus Roman No9 L"/>
    <w:panose1 w:val="020B0604020202020204"/>
    <w:charset w:val="00"/>
    <w:family w:val="swiss"/>
    <w:pitch w:val="default"/>
    <w:sig w:usb0="00000000" w:usb1="00000000" w:usb2="00000009" w:usb3="00000000" w:csb0="000001FF" w:csb1="00000000"/>
  </w:font>
  <w:font w:name="+mn-cs">
    <w:altName w:val="仿宋"/>
    <w:panose1 w:val="00000000000000000000"/>
    <w:charset w:val="00"/>
    <w:family w:val="roman"/>
    <w:pitch w:val="default"/>
    <w:sig w:usb0="00000000" w:usb1="00000000" w:usb2="00000000" w:usb3="00000000" w:csb0="00000000" w:csb1="00000000"/>
  </w:font>
  <w:font w:name="Microsoft YaHei UI">
    <w:altName w:val="Droid Sans Fallback"/>
    <w:panose1 w:val="020B0503020204020204"/>
    <w:charset w:val="86"/>
    <w:family w:val="swiss"/>
    <w:pitch w:val="default"/>
    <w:sig w:usb0="00000000" w:usb1="00000000" w:usb2="00000016" w:usb3="00000000" w:csb0="0004001F"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 w:name="Droid Sans Fallback">
    <w:panose1 w:val="020B0502000000000001"/>
    <w:charset w:val="86"/>
    <w:family w:val="auto"/>
    <w:pitch w:val="default"/>
    <w:sig w:usb0="910002FF" w:usb1="2BDFFCFB" w:usb2="00000036" w:usb3="00000000" w:csb0="203F01FF"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81033"/>
      <w:docPartObj>
        <w:docPartGallery w:val="autotext"/>
      </w:docPartObj>
    </w:sdtPr>
    <w:sdtContent>
      <w:p>
        <w:pPr>
          <w:pStyle w:val="6"/>
          <w:jc w:val="center"/>
        </w:pPr>
        <w:r>
          <w:fldChar w:fldCharType="begin"/>
        </w:r>
        <w:r>
          <w:instrText xml:space="preserve"> PAGE   \* MERGEFORMAT </w:instrText>
        </w:r>
        <w:r>
          <w:fldChar w:fldCharType="separate"/>
        </w:r>
        <w:r>
          <w:rPr>
            <w:lang w:val="zh-CN"/>
          </w:rPr>
          <w:t>-</w:t>
        </w:r>
        <w:r>
          <w:t xml:space="preserve"> 1 -</w:t>
        </w:r>
        <w:r>
          <w:fldChar w:fldCharType="end"/>
        </w:r>
      </w:p>
    </w:sdtContent>
  </w:sdt>
  <w:p>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w:t>
    </w:r>
    <w:r>
      <w:t xml:space="preserve"> 6 -</w:t>
    </w:r>
    <w: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zh-CN"/>
      </w:rPr>
      <w:drawing>
        <wp:anchor distT="0" distB="0" distL="114300" distR="114300" simplePos="0" relativeHeight="251665408" behindDoc="0" locked="0" layoutInCell="1" allowOverlap="1">
          <wp:simplePos x="0" y="0"/>
          <wp:positionH relativeFrom="margin">
            <wp:posOffset>5488305</wp:posOffset>
          </wp:positionH>
          <wp:positionV relativeFrom="margin">
            <wp:posOffset>-690880</wp:posOffset>
          </wp:positionV>
          <wp:extent cx="895350" cy="561975"/>
          <wp:effectExtent l="19050" t="0" r="0" b="0"/>
          <wp:wrapSquare wrapText="bothSides"/>
          <wp:docPr id="8" name="图片 7" descr="logo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descr="logo01.png"/>
                  <pic:cNvPicPr>
                    <a:picLocks noChangeAspect="true"/>
                  </pic:cNvPicPr>
                </pic:nvPicPr>
                <pic:blipFill>
                  <a:blip r:embed="rId1"/>
                  <a:stretch>
                    <a:fillRect/>
                  </a:stretch>
                </pic:blipFill>
                <pic:spPr>
                  <a:xfrm>
                    <a:off x="0" y="0"/>
                    <a:ext cx="895350" cy="5619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A7716C"/>
    <w:multiLevelType w:val="multilevel"/>
    <w:tmpl w:val="3DA7716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true"/>
  <w:bordersDoNotSurroundFooter w:val="true"/>
  <w:documentProtection w:enforcement="0"/>
  <w:defaultTabStop w:val="720"/>
  <w:drawingGridHorizontalSpacing w:val="110"/>
  <w:noPunctuationKerning w:val="true"/>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QwYjRhZTAwZTAxYzUwMWYyZDJkZGIyMGEwNTljNTMifQ=="/>
  </w:docVars>
  <w:rsids>
    <w:rsidRoot w:val="002C43CB"/>
    <w:rsid w:val="000249DA"/>
    <w:rsid w:val="00026CA5"/>
    <w:rsid w:val="00033CD0"/>
    <w:rsid w:val="00036046"/>
    <w:rsid w:val="00057374"/>
    <w:rsid w:val="000606C0"/>
    <w:rsid w:val="00061F1D"/>
    <w:rsid w:val="00080084"/>
    <w:rsid w:val="00090C78"/>
    <w:rsid w:val="00092957"/>
    <w:rsid w:val="00094B53"/>
    <w:rsid w:val="000A0ED3"/>
    <w:rsid w:val="000D4637"/>
    <w:rsid w:val="000E6036"/>
    <w:rsid w:val="000F300E"/>
    <w:rsid w:val="000F692C"/>
    <w:rsid w:val="00105625"/>
    <w:rsid w:val="0011032B"/>
    <w:rsid w:val="00135CF3"/>
    <w:rsid w:val="0014226D"/>
    <w:rsid w:val="00151D55"/>
    <w:rsid w:val="0015586B"/>
    <w:rsid w:val="0016130C"/>
    <w:rsid w:val="00171131"/>
    <w:rsid w:val="00173A1C"/>
    <w:rsid w:val="00187D68"/>
    <w:rsid w:val="00194D64"/>
    <w:rsid w:val="00196591"/>
    <w:rsid w:val="001B78D2"/>
    <w:rsid w:val="001E00F4"/>
    <w:rsid w:val="001E31C2"/>
    <w:rsid w:val="001E4BDC"/>
    <w:rsid w:val="001E5E5E"/>
    <w:rsid w:val="001F1EFC"/>
    <w:rsid w:val="001F2009"/>
    <w:rsid w:val="001F6A79"/>
    <w:rsid w:val="00200F76"/>
    <w:rsid w:val="00201BBD"/>
    <w:rsid w:val="00210C73"/>
    <w:rsid w:val="00210E82"/>
    <w:rsid w:val="00212D38"/>
    <w:rsid w:val="00215D44"/>
    <w:rsid w:val="0023301F"/>
    <w:rsid w:val="002507AD"/>
    <w:rsid w:val="00250D02"/>
    <w:rsid w:val="00256A8F"/>
    <w:rsid w:val="002668CA"/>
    <w:rsid w:val="002671E8"/>
    <w:rsid w:val="00283F5F"/>
    <w:rsid w:val="00292194"/>
    <w:rsid w:val="002A051D"/>
    <w:rsid w:val="002A33BD"/>
    <w:rsid w:val="002B32B6"/>
    <w:rsid w:val="002C43CB"/>
    <w:rsid w:val="002D74F9"/>
    <w:rsid w:val="002E785E"/>
    <w:rsid w:val="00322FB5"/>
    <w:rsid w:val="003317E9"/>
    <w:rsid w:val="003372F6"/>
    <w:rsid w:val="003378FE"/>
    <w:rsid w:val="0034334B"/>
    <w:rsid w:val="00350B54"/>
    <w:rsid w:val="00353083"/>
    <w:rsid w:val="00355DCD"/>
    <w:rsid w:val="003731CC"/>
    <w:rsid w:val="00373D1D"/>
    <w:rsid w:val="0039346C"/>
    <w:rsid w:val="003965EB"/>
    <w:rsid w:val="003A19E1"/>
    <w:rsid w:val="003B4F6E"/>
    <w:rsid w:val="003B51A0"/>
    <w:rsid w:val="003C2749"/>
    <w:rsid w:val="003E1891"/>
    <w:rsid w:val="003E6407"/>
    <w:rsid w:val="004058B4"/>
    <w:rsid w:val="00407B70"/>
    <w:rsid w:val="0041035D"/>
    <w:rsid w:val="00411A12"/>
    <w:rsid w:val="004236F3"/>
    <w:rsid w:val="00423B98"/>
    <w:rsid w:val="00427FCB"/>
    <w:rsid w:val="00435FD0"/>
    <w:rsid w:val="00444B2A"/>
    <w:rsid w:val="00445979"/>
    <w:rsid w:val="00450572"/>
    <w:rsid w:val="00461F62"/>
    <w:rsid w:val="004623CC"/>
    <w:rsid w:val="00475376"/>
    <w:rsid w:val="004965B5"/>
    <w:rsid w:val="004A27C9"/>
    <w:rsid w:val="004A3ADE"/>
    <w:rsid w:val="004B742D"/>
    <w:rsid w:val="004C1F0B"/>
    <w:rsid w:val="004C49EE"/>
    <w:rsid w:val="004D0A2D"/>
    <w:rsid w:val="004F0116"/>
    <w:rsid w:val="00501858"/>
    <w:rsid w:val="00501E55"/>
    <w:rsid w:val="00505093"/>
    <w:rsid w:val="005108EE"/>
    <w:rsid w:val="00517110"/>
    <w:rsid w:val="0052453F"/>
    <w:rsid w:val="00525B9E"/>
    <w:rsid w:val="00542269"/>
    <w:rsid w:val="00543E80"/>
    <w:rsid w:val="0054628D"/>
    <w:rsid w:val="00547430"/>
    <w:rsid w:val="005528A2"/>
    <w:rsid w:val="00562455"/>
    <w:rsid w:val="00575D36"/>
    <w:rsid w:val="005836A8"/>
    <w:rsid w:val="00586908"/>
    <w:rsid w:val="005A7C7E"/>
    <w:rsid w:val="005B202E"/>
    <w:rsid w:val="005C746C"/>
    <w:rsid w:val="005D114E"/>
    <w:rsid w:val="005D5C0C"/>
    <w:rsid w:val="005F65F9"/>
    <w:rsid w:val="006070DC"/>
    <w:rsid w:val="00631B4C"/>
    <w:rsid w:val="0064365C"/>
    <w:rsid w:val="0064475B"/>
    <w:rsid w:val="006461F9"/>
    <w:rsid w:val="006539BD"/>
    <w:rsid w:val="0066012B"/>
    <w:rsid w:val="0066269D"/>
    <w:rsid w:val="006635CD"/>
    <w:rsid w:val="00677077"/>
    <w:rsid w:val="00682591"/>
    <w:rsid w:val="00691ECC"/>
    <w:rsid w:val="006A4B65"/>
    <w:rsid w:val="006B00FA"/>
    <w:rsid w:val="006B3C0F"/>
    <w:rsid w:val="006C07CC"/>
    <w:rsid w:val="006F3E29"/>
    <w:rsid w:val="007049C0"/>
    <w:rsid w:val="0072238E"/>
    <w:rsid w:val="007232DB"/>
    <w:rsid w:val="00724F04"/>
    <w:rsid w:val="00726320"/>
    <w:rsid w:val="0072677E"/>
    <w:rsid w:val="007269A2"/>
    <w:rsid w:val="00743ADA"/>
    <w:rsid w:val="00756879"/>
    <w:rsid w:val="007715E5"/>
    <w:rsid w:val="00776614"/>
    <w:rsid w:val="00776697"/>
    <w:rsid w:val="007841BE"/>
    <w:rsid w:val="007861E1"/>
    <w:rsid w:val="00786A27"/>
    <w:rsid w:val="00790E2F"/>
    <w:rsid w:val="00791E37"/>
    <w:rsid w:val="007B0379"/>
    <w:rsid w:val="007B3211"/>
    <w:rsid w:val="007B5D31"/>
    <w:rsid w:val="007C1649"/>
    <w:rsid w:val="007C27EC"/>
    <w:rsid w:val="00803350"/>
    <w:rsid w:val="00811343"/>
    <w:rsid w:val="0081609A"/>
    <w:rsid w:val="00820188"/>
    <w:rsid w:val="0083142D"/>
    <w:rsid w:val="00845B7D"/>
    <w:rsid w:val="008A04BE"/>
    <w:rsid w:val="008A1FFD"/>
    <w:rsid w:val="008A2BDA"/>
    <w:rsid w:val="008B4A68"/>
    <w:rsid w:val="008C725C"/>
    <w:rsid w:val="008E4D2A"/>
    <w:rsid w:val="008E4DEE"/>
    <w:rsid w:val="008E7B1D"/>
    <w:rsid w:val="00915731"/>
    <w:rsid w:val="00932C51"/>
    <w:rsid w:val="00942A4F"/>
    <w:rsid w:val="009530D8"/>
    <w:rsid w:val="00957B44"/>
    <w:rsid w:val="00966A3D"/>
    <w:rsid w:val="00967290"/>
    <w:rsid w:val="00967A63"/>
    <w:rsid w:val="009A14BD"/>
    <w:rsid w:val="009A67A7"/>
    <w:rsid w:val="009B4993"/>
    <w:rsid w:val="009E514E"/>
    <w:rsid w:val="009F3652"/>
    <w:rsid w:val="00A02A00"/>
    <w:rsid w:val="00A0761B"/>
    <w:rsid w:val="00A3239A"/>
    <w:rsid w:val="00A43D86"/>
    <w:rsid w:val="00A62C34"/>
    <w:rsid w:val="00A63478"/>
    <w:rsid w:val="00A73175"/>
    <w:rsid w:val="00A90351"/>
    <w:rsid w:val="00A967F4"/>
    <w:rsid w:val="00AA2D34"/>
    <w:rsid w:val="00AA7916"/>
    <w:rsid w:val="00AB1319"/>
    <w:rsid w:val="00AB59C5"/>
    <w:rsid w:val="00AB7D6C"/>
    <w:rsid w:val="00AD4264"/>
    <w:rsid w:val="00AE4069"/>
    <w:rsid w:val="00B1284E"/>
    <w:rsid w:val="00B2219C"/>
    <w:rsid w:val="00B50917"/>
    <w:rsid w:val="00B630AC"/>
    <w:rsid w:val="00B658DB"/>
    <w:rsid w:val="00B65957"/>
    <w:rsid w:val="00B66C9D"/>
    <w:rsid w:val="00B860E7"/>
    <w:rsid w:val="00BB2B04"/>
    <w:rsid w:val="00BB69C2"/>
    <w:rsid w:val="00BC4C5B"/>
    <w:rsid w:val="00BD2773"/>
    <w:rsid w:val="00C10091"/>
    <w:rsid w:val="00C1045A"/>
    <w:rsid w:val="00C260C6"/>
    <w:rsid w:val="00C34CF6"/>
    <w:rsid w:val="00C41AD6"/>
    <w:rsid w:val="00C43654"/>
    <w:rsid w:val="00C449E7"/>
    <w:rsid w:val="00C512E1"/>
    <w:rsid w:val="00C70AB9"/>
    <w:rsid w:val="00C723EE"/>
    <w:rsid w:val="00C90400"/>
    <w:rsid w:val="00C95A25"/>
    <w:rsid w:val="00CA6048"/>
    <w:rsid w:val="00CF0994"/>
    <w:rsid w:val="00CF279C"/>
    <w:rsid w:val="00CF53FD"/>
    <w:rsid w:val="00D16DAF"/>
    <w:rsid w:val="00D26E19"/>
    <w:rsid w:val="00D325D7"/>
    <w:rsid w:val="00D328A9"/>
    <w:rsid w:val="00D52A0F"/>
    <w:rsid w:val="00D56769"/>
    <w:rsid w:val="00D56BCE"/>
    <w:rsid w:val="00D57B24"/>
    <w:rsid w:val="00D6655A"/>
    <w:rsid w:val="00DA4F32"/>
    <w:rsid w:val="00DB634C"/>
    <w:rsid w:val="00DC3C4C"/>
    <w:rsid w:val="00DC4BDD"/>
    <w:rsid w:val="00DC7619"/>
    <w:rsid w:val="00DD2FB0"/>
    <w:rsid w:val="00DD6297"/>
    <w:rsid w:val="00DE4839"/>
    <w:rsid w:val="00DF2C5B"/>
    <w:rsid w:val="00E02DD7"/>
    <w:rsid w:val="00E177CE"/>
    <w:rsid w:val="00E2677C"/>
    <w:rsid w:val="00E33E60"/>
    <w:rsid w:val="00E404A8"/>
    <w:rsid w:val="00E425D7"/>
    <w:rsid w:val="00E445E5"/>
    <w:rsid w:val="00E46E9D"/>
    <w:rsid w:val="00E6128F"/>
    <w:rsid w:val="00E6303B"/>
    <w:rsid w:val="00E72804"/>
    <w:rsid w:val="00EA3BD9"/>
    <w:rsid w:val="00EB64F4"/>
    <w:rsid w:val="00EC6299"/>
    <w:rsid w:val="00ED6097"/>
    <w:rsid w:val="00EE3F50"/>
    <w:rsid w:val="00EE5AD5"/>
    <w:rsid w:val="00EE7939"/>
    <w:rsid w:val="00EF5CCF"/>
    <w:rsid w:val="00F000FA"/>
    <w:rsid w:val="00F007BE"/>
    <w:rsid w:val="00F142DC"/>
    <w:rsid w:val="00F26D74"/>
    <w:rsid w:val="00F417FE"/>
    <w:rsid w:val="00F75CB0"/>
    <w:rsid w:val="00F9416D"/>
    <w:rsid w:val="00F942BF"/>
    <w:rsid w:val="00F9449F"/>
    <w:rsid w:val="00FC1F56"/>
    <w:rsid w:val="00FD036D"/>
    <w:rsid w:val="00FD573A"/>
    <w:rsid w:val="058E12A9"/>
    <w:rsid w:val="06F45C8B"/>
    <w:rsid w:val="0DBC4A7E"/>
    <w:rsid w:val="190E74C1"/>
    <w:rsid w:val="255D6F0D"/>
    <w:rsid w:val="43B348D4"/>
    <w:rsid w:val="50586D41"/>
    <w:rsid w:val="563F3893"/>
    <w:rsid w:val="5FEC2CF8"/>
    <w:rsid w:val="6B6FF8CB"/>
    <w:rsid w:val="6F2F2227"/>
    <w:rsid w:val="7FBD6EAA"/>
    <w:rsid w:val="7FD65061"/>
    <w:rsid w:val="C93F947D"/>
    <w:rsid w:val="F1F7F800"/>
    <w:rsid w:val="FDF7CD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paragraph" w:styleId="2">
    <w:name w:val="heading 1"/>
    <w:basedOn w:val="1"/>
    <w:next w:val="1"/>
    <w:link w:val="24"/>
    <w:qFormat/>
    <w:uiPriority w:val="9"/>
    <w:pPr>
      <w:widowControl/>
      <w:spacing w:before="100" w:beforeAutospacing="1" w:after="100" w:afterAutospacing="1"/>
      <w:outlineLvl w:val="0"/>
    </w:pPr>
    <w:rPr>
      <w:rFonts w:ascii="宋体" w:hAnsi="宋体" w:eastAsia="宋体" w:cs="宋体"/>
      <w:b/>
      <w:bCs/>
      <w:kern w:val="36"/>
      <w:sz w:val="48"/>
      <w:szCs w:val="48"/>
      <w:lang w:eastAsia="zh-CN"/>
    </w:rPr>
  </w:style>
  <w:style w:type="character" w:default="1" w:styleId="13">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5"/>
    <w:qFormat/>
    <w:uiPriority w:val="1"/>
    <w:pPr>
      <w:ind w:left="120"/>
    </w:pPr>
    <w:rPr>
      <w:rFonts w:ascii="仿宋_GB2312" w:hAnsi="仿宋_GB2312" w:eastAsia="仿宋_GB2312"/>
      <w:sz w:val="32"/>
      <w:szCs w:val="32"/>
    </w:rPr>
  </w:style>
  <w:style w:type="paragraph" w:styleId="4">
    <w:name w:val="toc 3"/>
    <w:basedOn w:val="1"/>
    <w:next w:val="1"/>
    <w:unhideWhenUsed/>
    <w:qFormat/>
    <w:uiPriority w:val="39"/>
    <w:pPr>
      <w:ind w:left="840" w:leftChars="400"/>
      <w:jc w:val="both"/>
    </w:pPr>
    <w:rPr>
      <w:kern w:val="2"/>
      <w:sz w:val="21"/>
      <w:lang w:eastAsia="zh-CN"/>
    </w:rPr>
  </w:style>
  <w:style w:type="paragraph" w:styleId="5">
    <w:name w:val="Balloon Text"/>
    <w:basedOn w:val="1"/>
    <w:link w:val="23"/>
    <w:semiHidden/>
    <w:unhideWhenUsed/>
    <w:qFormat/>
    <w:uiPriority w:val="99"/>
    <w:rPr>
      <w:sz w:val="18"/>
      <w:szCs w:val="18"/>
    </w:rPr>
  </w:style>
  <w:style w:type="paragraph" w:styleId="6">
    <w:name w:val="footer"/>
    <w:basedOn w:val="1"/>
    <w:link w:val="22"/>
    <w:unhideWhenUsed/>
    <w:qFormat/>
    <w:uiPriority w:val="99"/>
    <w:pPr>
      <w:tabs>
        <w:tab w:val="center" w:pos="4153"/>
        <w:tab w:val="right" w:pos="8306"/>
      </w:tabs>
      <w:snapToGrid w:val="0"/>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pPr>
    <w:rPr>
      <w:rFonts w:ascii="宋体" w:hAnsi="宋体" w:eastAsia="宋体" w:cs="宋体"/>
      <w:sz w:val="24"/>
      <w:szCs w:val="24"/>
      <w:lang w:eastAsia="zh-CN"/>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
    <w:name w:val="Light Grid"/>
    <w:basedOn w:val="9"/>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2">
    <w:name w:val="Light Grid Accent 3"/>
    <w:basedOn w:val="9"/>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character" w:styleId="14">
    <w:name w:val="Strong"/>
    <w:basedOn w:val="13"/>
    <w:qFormat/>
    <w:uiPriority w:val="22"/>
    <w:rPr>
      <w:b/>
      <w:bCs/>
    </w:rPr>
  </w:style>
  <w:style w:type="character" w:styleId="15">
    <w:name w:val="FollowedHyperlink"/>
    <w:basedOn w:val="13"/>
    <w:semiHidden/>
    <w:unhideWhenUsed/>
    <w:qFormat/>
    <w:uiPriority w:val="99"/>
    <w:rPr>
      <w:color w:val="800080" w:themeColor="followedHyperlink"/>
      <w:u w:val="single"/>
      <w14:textFill>
        <w14:solidFill>
          <w14:schemeClr w14:val="folHlink"/>
        </w14:solidFill>
      </w14:textFill>
    </w:rPr>
  </w:style>
  <w:style w:type="character" w:styleId="16">
    <w:name w:val="Hyperlink"/>
    <w:basedOn w:val="13"/>
    <w:unhideWhenUsed/>
    <w:qFormat/>
    <w:uiPriority w:val="99"/>
    <w:rPr>
      <w:color w:val="0000FF" w:themeColor="hyperlink"/>
      <w:u w:val="single"/>
      <w14:textFill>
        <w14:solidFill>
          <w14:schemeClr w14:val="hlink"/>
        </w14:solidFill>
      </w14:textFill>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customStyle="1" w:styleId="18">
    <w:name w:val="标题 11"/>
    <w:basedOn w:val="1"/>
    <w:qFormat/>
    <w:uiPriority w:val="1"/>
    <w:pPr>
      <w:ind w:left="128"/>
      <w:outlineLvl w:val="1"/>
    </w:pPr>
    <w:rPr>
      <w:rFonts w:ascii="楷体_GB2312" w:hAnsi="楷体_GB2312" w:eastAsia="楷体_GB2312"/>
      <w:b/>
      <w:bCs/>
      <w:sz w:val="32"/>
      <w:szCs w:val="32"/>
    </w:rPr>
  </w:style>
  <w:style w:type="paragraph" w:styleId="19">
    <w:name w:val="List Paragraph"/>
    <w:basedOn w:val="1"/>
    <w:qFormat/>
    <w:uiPriority w:val="1"/>
  </w:style>
  <w:style w:type="paragraph" w:customStyle="1" w:styleId="20">
    <w:name w:val="Table Paragraph"/>
    <w:basedOn w:val="1"/>
    <w:qFormat/>
    <w:uiPriority w:val="1"/>
  </w:style>
  <w:style w:type="character" w:customStyle="1" w:styleId="21">
    <w:name w:val="页眉 字符"/>
    <w:basedOn w:val="13"/>
    <w:link w:val="7"/>
    <w:qFormat/>
    <w:uiPriority w:val="99"/>
    <w:rPr>
      <w:sz w:val="18"/>
      <w:szCs w:val="18"/>
    </w:rPr>
  </w:style>
  <w:style w:type="character" w:customStyle="1" w:styleId="22">
    <w:name w:val="页脚 字符"/>
    <w:basedOn w:val="13"/>
    <w:link w:val="6"/>
    <w:qFormat/>
    <w:uiPriority w:val="99"/>
    <w:rPr>
      <w:sz w:val="18"/>
      <w:szCs w:val="18"/>
    </w:rPr>
  </w:style>
  <w:style w:type="character" w:customStyle="1" w:styleId="23">
    <w:name w:val="批注框文本 字符"/>
    <w:basedOn w:val="13"/>
    <w:link w:val="5"/>
    <w:semiHidden/>
    <w:qFormat/>
    <w:uiPriority w:val="99"/>
    <w:rPr>
      <w:sz w:val="18"/>
      <w:szCs w:val="18"/>
    </w:rPr>
  </w:style>
  <w:style w:type="character" w:customStyle="1" w:styleId="24">
    <w:name w:val="标题 1 字符"/>
    <w:basedOn w:val="13"/>
    <w:link w:val="2"/>
    <w:qFormat/>
    <w:uiPriority w:val="9"/>
    <w:rPr>
      <w:rFonts w:ascii="宋体" w:hAnsi="宋体" w:eastAsia="宋体" w:cs="宋体"/>
      <w:b/>
      <w:bCs/>
      <w:kern w:val="36"/>
      <w:sz w:val="48"/>
      <w:szCs w:val="48"/>
      <w:lang w:eastAsia="zh-CN"/>
    </w:rPr>
  </w:style>
  <w:style w:type="character" w:customStyle="1" w:styleId="25">
    <w:name w:val="正文文本 字符"/>
    <w:basedOn w:val="13"/>
    <w:link w:val="3"/>
    <w:qFormat/>
    <w:uiPriority w:val="1"/>
    <w:rPr>
      <w:rFonts w:ascii="仿宋_GB2312" w:hAnsi="仿宋_GB2312" w:eastAsia="仿宋_GB2312"/>
      <w:sz w:val="32"/>
      <w:szCs w:val="32"/>
      <w:lang w:eastAsia="en-US"/>
    </w:rPr>
  </w:style>
  <w:style w:type="paragraph" w:customStyle="1" w:styleId="26">
    <w:name w:val="ql-long-4407630"/>
    <w:basedOn w:val="1"/>
    <w:qFormat/>
    <w:uiPriority w:val="0"/>
    <w:pPr>
      <w:widowControl/>
      <w:spacing w:before="100" w:beforeAutospacing="1" w:after="100" w:afterAutospacing="1"/>
    </w:pPr>
    <w:rPr>
      <w:rFonts w:ascii="宋体" w:hAnsi="宋体" w:eastAsia="宋体" w:cs="宋体"/>
      <w:sz w:val="24"/>
      <w:szCs w:val="24"/>
      <w:lang w:eastAsia="zh-CN"/>
    </w:rPr>
  </w:style>
  <w:style w:type="character" w:customStyle="1" w:styleId="27">
    <w:name w:val="ql-author-4407630"/>
    <w:basedOn w:val="13"/>
    <w:qFormat/>
    <w:uiPriority w:val="0"/>
  </w:style>
  <w:style w:type="character" w:customStyle="1" w:styleId="28">
    <w:name w:val="未处理的提及1"/>
    <w:basedOn w:val="13"/>
    <w:semiHidden/>
    <w:unhideWhenUsed/>
    <w:qFormat/>
    <w:uiPriority w:val="99"/>
    <w:rPr>
      <w:color w:val="605E5C"/>
      <w:shd w:val="clear" w:color="auto" w:fill="E1DFDD"/>
    </w:rPr>
  </w:style>
  <w:style w:type="paragraph" w:customStyle="1" w:styleId="29">
    <w:name w:val="石墨文档正文"/>
    <w:qFormat/>
    <w:uiPriority w:val="0"/>
    <w:rPr>
      <w:rFonts w:ascii="微软雅黑" w:hAnsi="微软雅黑" w:eastAsia="微软雅黑" w:cs="微软雅黑"/>
      <w:sz w:val="22"/>
      <w:szCs w:val="22"/>
      <w:lang w:val="en-US" w:eastAsia="zh-CN" w:bidi="ar-SA"/>
    </w:rPr>
  </w:style>
  <w:style w:type="character" w:customStyle="1" w:styleId="30">
    <w:name w:val="未处理的提及2"/>
    <w:basedOn w:val="13"/>
    <w:semiHidden/>
    <w:unhideWhenUsed/>
    <w:qFormat/>
    <w:uiPriority w:val="99"/>
    <w:rPr>
      <w:color w:val="605E5C"/>
      <w:shd w:val="clear" w:color="auto" w:fill="E1DFDD"/>
    </w:rPr>
  </w:style>
  <w:style w:type="table" w:customStyle="1" w:styleId="31">
    <w:name w:val="无格式表格 11"/>
    <w:basedOn w:val="9"/>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32">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sv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2.sv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901</Words>
  <Characters>5140</Characters>
  <Lines>42</Lines>
  <Paragraphs>12</Paragraphs>
  <TotalTime>79</TotalTime>
  <ScaleCrop>false</ScaleCrop>
  <LinksUpToDate>false</LinksUpToDate>
  <CharactersWithSpaces>6029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2024-06-27T19:59:00Z</dcterms:created>
  <dc:creator>H</dc:creator>
  <cp:lastModifiedBy>王洪艳</cp:lastModifiedBy>
  <cp:lastPrinted>2023-09-17T21:41:00Z</cp:lastPrinted>
  <dcterms:modified xsi:type="dcterms:W3CDTF">2024-07-08T11:25:19Z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Creator">
    <vt:lpwstr>Acrobat PDFMaker 9.1 Word 版</vt:lpwstr>
  </property>
  <property fmtid="{D5CDD505-2E9C-101B-9397-08002B2CF9AE}" pid="4" name="LastSaved">
    <vt:filetime>2020-04-27T00:00:00Z</vt:filetime>
  </property>
  <property fmtid="{D5CDD505-2E9C-101B-9397-08002B2CF9AE}" pid="5" name="KSOProductBuildVer">
    <vt:lpwstr>2052-11.8.2.10386</vt:lpwstr>
  </property>
  <property fmtid="{D5CDD505-2E9C-101B-9397-08002B2CF9AE}" pid="6" name="ICV">
    <vt:lpwstr>F0B0FC8A22B283D3B8526A66CA2F2156_43</vt:lpwstr>
  </property>
</Properties>
</file>